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contextualSpacing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contextualSpacing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于发</w:t>
      </w:r>
      <w:r>
        <w:rPr>
          <w:rFonts w:hint="eastAsia" w:ascii="方正小标宋简体" w:eastAsia="方正小标宋简体"/>
          <w:sz w:val="44"/>
          <w:szCs w:val="44"/>
        </w:rPr>
        <w:t>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职业技能等级标准</w:t>
      </w:r>
    </w:p>
    <w:p>
      <w:pPr>
        <w:snapToGrid w:val="0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开发指南（试行）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》</w:t>
      </w:r>
      <w:r>
        <w:rPr>
          <w:rFonts w:hint="eastAsia" w:ascii="方正小标宋简体" w:eastAsia="方正小标宋简体"/>
          <w:sz w:val="44"/>
          <w:szCs w:val="44"/>
        </w:rPr>
        <w:t>的公告</w:t>
      </w:r>
    </w:p>
    <w:p>
      <w:pPr>
        <w:ind w:firstLine="640" w:firstLineChars="200"/>
        <w:contextualSpacing/>
        <w:rPr>
          <w:rFonts w:ascii="仿宋_GB2312"/>
          <w:szCs w:val="32"/>
        </w:rPr>
      </w:pPr>
    </w:p>
    <w:p>
      <w:pPr>
        <w:snapToGrid/>
        <w:ind w:firstLine="0" w:firstLineChars="0"/>
        <w:contextualSpacing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 xml:space="preserve">    </w:t>
      </w:r>
      <w:r>
        <w:rPr>
          <w:rFonts w:hint="eastAsia" w:ascii="仿宋_GB2312"/>
          <w:szCs w:val="32"/>
        </w:rPr>
        <w:t>为贯彻落实《国家职业教育改革实施方案》，</w:t>
      </w:r>
      <w:r>
        <w:rPr>
          <w:rFonts w:hint="eastAsia" w:ascii="仿宋_GB2312"/>
          <w:szCs w:val="32"/>
          <w:lang w:eastAsia="zh-CN"/>
        </w:rPr>
        <w:t>指导</w:t>
      </w:r>
      <w:r>
        <w:rPr>
          <w:rFonts w:hint="eastAsia" w:ascii="仿宋_GB2312"/>
          <w:szCs w:val="32"/>
        </w:rPr>
        <w:t>职业技能等级标准</w:t>
      </w:r>
      <w:r>
        <w:rPr>
          <w:rFonts w:hint="eastAsia" w:ascii="仿宋_GB2312"/>
          <w:szCs w:val="32"/>
          <w:lang w:eastAsia="zh-CN"/>
        </w:rPr>
        <w:t>开发，</w:t>
      </w:r>
      <w:r>
        <w:rPr>
          <w:rFonts w:hint="eastAsia" w:ascii="仿宋_GB2312"/>
          <w:szCs w:val="32"/>
        </w:rPr>
        <w:t>进一步规范</w:t>
      </w:r>
      <w:r>
        <w:rPr>
          <w:rFonts w:hint="eastAsia" w:ascii="仿宋_GB2312"/>
          <w:szCs w:val="32"/>
          <w:lang w:eastAsia="zh-CN"/>
        </w:rPr>
        <w:t>标准</w:t>
      </w:r>
      <w:r>
        <w:rPr>
          <w:rFonts w:hint="eastAsia" w:ascii="仿宋_GB2312"/>
          <w:szCs w:val="32"/>
        </w:rPr>
        <w:t>内容结构、编写表述规则和格式要求</w:t>
      </w:r>
      <w:r>
        <w:rPr>
          <w:rFonts w:hint="eastAsia" w:ascii="仿宋_GB2312"/>
          <w:szCs w:val="32"/>
          <w:lang w:eastAsia="zh-CN"/>
        </w:rPr>
        <w:t>等</w:t>
      </w:r>
      <w:r>
        <w:rPr>
          <w:rFonts w:hint="eastAsia" w:ascii="仿宋_GB2312"/>
          <w:szCs w:val="32"/>
        </w:rPr>
        <w:t>，</w:t>
      </w:r>
      <w:r>
        <w:rPr>
          <w:rFonts w:hint="eastAsia" w:ascii="仿宋_GB2312"/>
          <w:szCs w:val="32"/>
          <w:lang w:eastAsia="zh-CN"/>
        </w:rPr>
        <w:t>现发布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职业技能等级标准开发指南（试行）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自发布之日起实施。</w:t>
      </w:r>
    </w:p>
    <w:p>
      <w:pPr>
        <w:ind w:firstLine="640" w:firstLineChars="200"/>
        <w:contextualSpacing/>
        <w:rPr>
          <w:rFonts w:ascii="仿宋_GB2312"/>
          <w:szCs w:val="32"/>
        </w:rPr>
      </w:pPr>
      <w:bookmarkStart w:id="329" w:name="_GoBack"/>
      <w:bookmarkEnd w:id="329"/>
    </w:p>
    <w:p>
      <w:pPr>
        <w:ind w:firstLine="640" w:firstLineChars="200"/>
        <w:contextualSpacing/>
        <w:rPr>
          <w:rFonts w:ascii="仿宋_GB2312"/>
          <w:szCs w:val="32"/>
        </w:rPr>
      </w:pPr>
    </w:p>
    <w:p>
      <w:pPr>
        <w:ind w:firstLine="640" w:firstLineChars="200"/>
        <w:contextualSpacing/>
        <w:rPr>
          <w:rFonts w:ascii="仿宋_GB2312"/>
          <w:szCs w:val="32"/>
        </w:rPr>
      </w:pPr>
    </w:p>
    <w:p>
      <w:pPr>
        <w:ind w:firstLine="640" w:firstLineChars="200"/>
        <w:contextualSpacing/>
        <w:jc w:val="righ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国家职业教育指导咨询委员会   </w:t>
      </w:r>
    </w:p>
    <w:p>
      <w:pPr>
        <w:wordWrap w:val="0"/>
        <w:ind w:firstLine="630"/>
        <w:contextualSpacing/>
        <w:jc w:val="right"/>
        <w:rPr>
          <w:rFonts w:ascii="仿宋_GB2312" w:hAnsi="华文中宋"/>
          <w:color w:val="000000"/>
          <w:szCs w:val="32"/>
        </w:rPr>
      </w:pPr>
      <w:r>
        <w:rPr>
          <w:rFonts w:hint="eastAsia" w:ascii="仿宋_GB2312"/>
          <w:szCs w:val="32"/>
        </w:rPr>
        <w:t>2020年6月</w:t>
      </w:r>
      <w:r>
        <w:rPr>
          <w:rFonts w:hint="eastAsia" w:ascii="仿宋_GB2312"/>
          <w:szCs w:val="32"/>
          <w:lang w:val="en-US" w:eastAsia="zh-CN"/>
        </w:rPr>
        <w:t>19</w:t>
      </w:r>
      <w:r>
        <w:rPr>
          <w:rFonts w:hint="eastAsia" w:ascii="仿宋_GB2312"/>
          <w:szCs w:val="32"/>
        </w:rPr>
        <w:t xml:space="preserve">日     </w:t>
      </w:r>
    </w:p>
    <w:p>
      <w:pPr>
        <w:widowControl/>
        <w:jc w:val="left"/>
        <w:rPr>
          <w:rFonts w:ascii="仿宋_GB2312" w:hAnsi="华文中宋"/>
          <w:color w:val="000000"/>
          <w:szCs w:val="32"/>
        </w:rPr>
      </w:pPr>
      <w:r>
        <w:rPr>
          <w:rFonts w:ascii="仿宋_GB2312" w:hAnsi="华文中宋"/>
          <w:color w:val="000000"/>
          <w:szCs w:val="32"/>
        </w:rPr>
        <w:br w:type="page"/>
      </w:r>
    </w:p>
    <w:p>
      <w:pPr>
        <w:snapToGrid w:val="0"/>
        <w:spacing w:line="360" w:lineRule="auto"/>
        <w:ind w:firstLine="630"/>
        <w:contextualSpacing/>
        <w:jc w:val="center"/>
        <w:rPr>
          <w:rFonts w:ascii="仿宋_GB2312" w:hAnsi="华文中宋"/>
          <w:color w:val="000000"/>
          <w:szCs w:val="32"/>
        </w:rPr>
      </w:pPr>
    </w:p>
    <w:p>
      <w:pPr>
        <w:snapToGrid w:val="0"/>
        <w:spacing w:line="360" w:lineRule="auto"/>
        <w:ind w:firstLine="630"/>
        <w:contextualSpacing/>
        <w:jc w:val="center"/>
        <w:rPr>
          <w:rFonts w:ascii="仿宋_GB2312" w:hAnsi="华文中宋"/>
          <w:color w:val="000000"/>
          <w:szCs w:val="32"/>
        </w:rPr>
      </w:pPr>
    </w:p>
    <w:p>
      <w:pPr>
        <w:snapToGrid w:val="0"/>
        <w:spacing w:line="360" w:lineRule="auto"/>
        <w:ind w:firstLine="630"/>
        <w:contextualSpacing/>
        <w:jc w:val="center"/>
        <w:rPr>
          <w:rFonts w:ascii="仿宋_GB2312" w:hAnsi="华文中宋"/>
          <w:color w:val="000000"/>
          <w:szCs w:val="32"/>
        </w:rPr>
      </w:pPr>
    </w:p>
    <w:p>
      <w:pPr>
        <w:snapToGrid w:val="0"/>
        <w:spacing w:line="360" w:lineRule="auto"/>
        <w:ind w:firstLine="630"/>
        <w:contextualSpacing/>
        <w:jc w:val="center"/>
        <w:rPr>
          <w:rFonts w:ascii="仿宋_GB2312" w:hAnsi="华文中宋"/>
          <w:color w:val="000000"/>
          <w:szCs w:val="32"/>
        </w:rPr>
      </w:pPr>
    </w:p>
    <w:p>
      <w:pPr>
        <w:snapToGrid w:val="0"/>
        <w:spacing w:line="560" w:lineRule="exact"/>
        <w:contextualSpacing/>
        <w:jc w:val="center"/>
        <w:rPr>
          <w:rFonts w:ascii="华文中宋" w:hAnsi="华文中宋" w:eastAsia="华文中宋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职业技能等级标准开发指南（试行）</w:t>
      </w:r>
    </w:p>
    <w:p>
      <w:pPr>
        <w:snapToGrid w:val="0"/>
        <w:spacing w:line="560" w:lineRule="exact"/>
        <w:contextualSpacing/>
        <w:jc w:val="center"/>
        <w:rPr>
          <w:rFonts w:ascii="华文楷体" w:hAnsi="华文楷体" w:eastAsia="华文楷体"/>
          <w:b/>
          <w:color w:val="000000"/>
          <w:sz w:val="36"/>
          <w:szCs w:val="36"/>
        </w:rPr>
      </w:pPr>
    </w:p>
    <w:p>
      <w:pPr>
        <w:snapToGrid w:val="0"/>
        <w:spacing w:line="560" w:lineRule="exact"/>
        <w:contextualSpacing/>
        <w:jc w:val="center"/>
        <w:rPr>
          <w:rFonts w:ascii="华文楷体" w:hAnsi="华文楷体" w:eastAsia="华文楷体"/>
          <w:b/>
          <w:color w:val="000000"/>
          <w:sz w:val="36"/>
          <w:szCs w:val="36"/>
        </w:rPr>
      </w:pPr>
      <w:r>
        <w:rPr>
          <w:rFonts w:hint="eastAsia" w:ascii="华文楷体" w:hAnsi="华文楷体" w:eastAsia="华文楷体"/>
          <w:b/>
          <w:color w:val="000000"/>
          <w:sz w:val="36"/>
          <w:szCs w:val="36"/>
        </w:rPr>
        <w:t>（2020年版）</w:t>
      </w:r>
    </w:p>
    <w:p>
      <w:pPr>
        <w:snapToGrid w:val="0"/>
        <w:spacing w:line="360" w:lineRule="auto"/>
        <w:contextualSpacing/>
        <w:jc w:val="center"/>
        <w:rPr>
          <w:rFonts w:ascii="宋体" w:hAnsi="宋体"/>
          <w:b/>
          <w:color w:val="000000"/>
          <w:sz w:val="44"/>
          <w:szCs w:val="44"/>
        </w:rPr>
      </w:pPr>
    </w:p>
    <w:p>
      <w:pPr>
        <w:snapToGrid w:val="0"/>
        <w:spacing w:line="360" w:lineRule="auto"/>
        <w:contextualSpacing/>
        <w:jc w:val="center"/>
        <w:rPr>
          <w:rFonts w:ascii="宋体" w:hAnsi="宋体"/>
          <w:b/>
          <w:color w:val="000000"/>
          <w:sz w:val="44"/>
          <w:szCs w:val="44"/>
        </w:rPr>
      </w:pPr>
    </w:p>
    <w:p>
      <w:pPr>
        <w:snapToGrid w:val="0"/>
        <w:spacing w:line="360" w:lineRule="auto"/>
        <w:contextualSpacing/>
        <w:jc w:val="center"/>
        <w:rPr>
          <w:rFonts w:ascii="宋体" w:hAnsi="宋体"/>
          <w:b/>
          <w:color w:val="000000"/>
          <w:sz w:val="44"/>
          <w:szCs w:val="44"/>
        </w:rPr>
      </w:pPr>
    </w:p>
    <w:p>
      <w:pPr>
        <w:snapToGrid w:val="0"/>
        <w:spacing w:line="360" w:lineRule="auto"/>
        <w:contextualSpacing/>
        <w:jc w:val="center"/>
        <w:rPr>
          <w:rFonts w:ascii="宋体" w:hAnsi="宋体"/>
          <w:b/>
          <w:color w:val="000000"/>
          <w:sz w:val="44"/>
          <w:szCs w:val="44"/>
        </w:rPr>
      </w:pPr>
    </w:p>
    <w:p>
      <w:pPr>
        <w:snapToGrid w:val="0"/>
        <w:spacing w:line="360" w:lineRule="auto"/>
        <w:contextualSpacing/>
        <w:jc w:val="center"/>
        <w:rPr>
          <w:rFonts w:ascii="宋体" w:hAnsi="宋体"/>
          <w:b/>
          <w:color w:val="000000"/>
          <w:sz w:val="44"/>
          <w:szCs w:val="44"/>
        </w:rPr>
      </w:pPr>
    </w:p>
    <w:p>
      <w:pPr>
        <w:snapToGrid w:val="0"/>
        <w:spacing w:line="360" w:lineRule="auto"/>
        <w:contextualSpacing/>
        <w:jc w:val="center"/>
        <w:rPr>
          <w:rFonts w:ascii="宋体" w:hAnsi="宋体"/>
          <w:b/>
          <w:color w:val="000000"/>
          <w:sz w:val="44"/>
          <w:szCs w:val="44"/>
        </w:rPr>
      </w:pPr>
    </w:p>
    <w:p>
      <w:pPr>
        <w:snapToGrid w:val="0"/>
        <w:spacing w:line="360" w:lineRule="auto"/>
        <w:contextualSpacing/>
        <w:jc w:val="center"/>
        <w:rPr>
          <w:rFonts w:ascii="宋体" w:hAnsi="宋体"/>
          <w:b/>
          <w:color w:val="000000"/>
          <w:sz w:val="44"/>
          <w:szCs w:val="44"/>
        </w:rPr>
      </w:pPr>
    </w:p>
    <w:p>
      <w:pPr>
        <w:snapToGrid w:val="0"/>
        <w:spacing w:line="360" w:lineRule="auto"/>
        <w:contextualSpacing/>
        <w:rPr>
          <w:rFonts w:ascii="宋体" w:hAnsi="宋体"/>
          <w:b/>
          <w:color w:val="000000"/>
          <w:sz w:val="44"/>
          <w:szCs w:val="44"/>
        </w:rPr>
      </w:pPr>
    </w:p>
    <w:p>
      <w:pPr>
        <w:snapToGrid w:val="0"/>
        <w:spacing w:afterLines="200"/>
        <w:contextualSpacing/>
        <w:jc w:val="center"/>
        <w:rPr>
          <w:rFonts w:ascii="黑体" w:hAnsi="黑体" w:eastAsia="黑体" w:cs="黑体"/>
          <w:bCs/>
          <w:color w:val="000000"/>
          <w:spacing w:val="45"/>
          <w:kern w:val="0"/>
          <w:sz w:val="36"/>
          <w:szCs w:val="36"/>
        </w:rPr>
        <w:sectPr>
          <w:headerReference r:id="rId3" w:type="first"/>
          <w:footerReference r:id="rId4" w:type="default"/>
          <w:pgSz w:w="11906" w:h="16838"/>
          <w:pgMar w:top="2098" w:right="1474" w:bottom="1985" w:left="1588" w:header="851" w:footer="397" w:gutter="0"/>
          <w:cols w:space="720" w:num="1"/>
          <w:titlePg/>
          <w:docGrid w:type="lines" w:linePitch="579" w:charSpace="21679"/>
        </w:sectPr>
      </w:pPr>
      <w:r>
        <w:rPr>
          <w:rFonts w:hint="eastAsia" w:ascii="黑体" w:hAnsi="黑体" w:eastAsia="黑体" w:cs="黑体"/>
          <w:bCs/>
          <w:color w:val="000000"/>
          <w:spacing w:val="45"/>
          <w:kern w:val="0"/>
          <w:sz w:val="36"/>
          <w:szCs w:val="36"/>
        </w:rPr>
        <w:t>教育部职业技术教育中心研究所 组织编制</w:t>
      </w:r>
    </w:p>
    <w:p>
      <w:pPr>
        <w:jc w:val="center"/>
        <w:rPr>
          <w:rFonts w:ascii="黑体" w:hAnsi="黑体" w:eastAsia="黑体" w:cs="黑体"/>
          <w:spacing w:val="283"/>
          <w:szCs w:val="32"/>
        </w:rPr>
      </w:pPr>
    </w:p>
    <w:p>
      <w:pPr>
        <w:jc w:val="center"/>
        <w:rPr>
          <w:rFonts w:ascii="黑体" w:hAnsi="黑体" w:eastAsia="黑体" w:cs="黑体"/>
          <w:spacing w:val="283"/>
          <w:szCs w:val="32"/>
        </w:rPr>
      </w:pPr>
      <w:r>
        <w:rPr>
          <w:rFonts w:hint="eastAsia" w:ascii="黑体" w:hAnsi="黑体" w:eastAsia="黑体" w:cs="黑体"/>
          <w:spacing w:val="283"/>
          <w:szCs w:val="32"/>
        </w:rPr>
        <w:t>目录</w:t>
      </w:r>
    </w:p>
    <w:p>
      <w:pPr>
        <w:jc w:val="center"/>
        <w:rPr>
          <w:rFonts w:ascii="黑体" w:hAnsi="黑体" w:eastAsia="黑体" w:cs="黑体"/>
          <w:spacing w:val="283"/>
          <w:szCs w:val="32"/>
        </w:rPr>
      </w:pPr>
    </w:p>
    <w:p>
      <w:pPr>
        <w:pStyle w:val="8"/>
        <w:tabs>
          <w:tab w:val="right" w:leader="dot" w:pos="8844"/>
        </w:tabs>
        <w:spacing w:line="480" w:lineRule="exact"/>
        <w:rPr>
          <w:rFonts w:eastAsia="宋体"/>
          <w:sz w:val="28"/>
        </w:rPr>
      </w:pPr>
      <w:r>
        <w:rPr>
          <w:rFonts w:eastAsia="方正小标宋简体"/>
          <w:sz w:val="44"/>
          <w:szCs w:val="44"/>
        </w:rPr>
        <w:fldChar w:fldCharType="begin"/>
      </w:r>
      <w:r>
        <w:rPr>
          <w:rFonts w:eastAsia="方正小标宋简体"/>
          <w:sz w:val="44"/>
          <w:szCs w:val="44"/>
        </w:rPr>
        <w:instrText xml:space="preserve">TOC \o "1-3" \h \u </w:instrText>
      </w:r>
      <w:r>
        <w:rPr>
          <w:rFonts w:eastAsia="方正小标宋简体"/>
          <w:sz w:val="44"/>
          <w:szCs w:val="44"/>
        </w:rPr>
        <w:fldChar w:fldCharType="separate"/>
      </w:r>
      <w:r>
        <w:fldChar w:fldCharType="begin"/>
      </w:r>
      <w:r>
        <w:instrText xml:space="preserve"> HYPERLINK \l "_Toc27772" </w:instrText>
      </w:r>
      <w:r>
        <w:fldChar w:fldCharType="separate"/>
      </w:r>
      <w:r>
        <w:rPr>
          <w:rFonts w:eastAsia="宋体"/>
          <w:b/>
          <w:bCs/>
          <w:sz w:val="28"/>
        </w:rPr>
        <w:t>1  范围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_Toc27772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1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8"/>
        <w:tabs>
          <w:tab w:val="right" w:leader="dot" w:pos="8844"/>
        </w:tabs>
        <w:spacing w:line="480" w:lineRule="exact"/>
        <w:rPr>
          <w:rFonts w:eastAsia="宋体"/>
          <w:sz w:val="28"/>
        </w:rPr>
      </w:pPr>
      <w:r>
        <w:fldChar w:fldCharType="begin"/>
      </w:r>
      <w:r>
        <w:instrText xml:space="preserve"> HYPERLINK \l "_Toc17004" </w:instrText>
      </w:r>
      <w:r>
        <w:fldChar w:fldCharType="separate"/>
      </w:r>
      <w:r>
        <w:rPr>
          <w:rFonts w:eastAsia="宋体"/>
          <w:b/>
          <w:bCs/>
          <w:sz w:val="28"/>
        </w:rPr>
        <w:t>2  术语和定义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_Toc17004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1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"_Toc23655" </w:instrText>
      </w:r>
      <w:r>
        <w:fldChar w:fldCharType="separate"/>
      </w:r>
      <w:r>
        <w:rPr>
          <w:rFonts w:eastAsia="宋体"/>
          <w:sz w:val="28"/>
        </w:rPr>
        <w:t>2.1 职业技能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_Toc23655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1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"_Toc13377" </w:instrText>
      </w:r>
      <w:r>
        <w:fldChar w:fldCharType="separate"/>
      </w:r>
      <w:r>
        <w:rPr>
          <w:rFonts w:eastAsia="宋体"/>
          <w:sz w:val="28"/>
        </w:rPr>
        <w:t>2.2 工作领域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_Toc13377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1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"_Toc4036" </w:instrText>
      </w:r>
      <w:r>
        <w:fldChar w:fldCharType="separate"/>
      </w:r>
      <w:r>
        <w:rPr>
          <w:rFonts w:eastAsia="宋体"/>
          <w:sz w:val="28"/>
        </w:rPr>
        <w:t>2.3 工作任务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_Toc4036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1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"_Toc5815" </w:instrText>
      </w:r>
      <w:r>
        <w:fldChar w:fldCharType="separate"/>
      </w:r>
      <w:r>
        <w:rPr>
          <w:rFonts w:eastAsia="宋体"/>
          <w:sz w:val="28"/>
        </w:rPr>
        <w:t>2.4 职业技能等级标准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_Toc5815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1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8"/>
        <w:tabs>
          <w:tab w:val="right" w:leader="dot" w:pos="8844"/>
        </w:tabs>
        <w:spacing w:line="480" w:lineRule="exact"/>
        <w:rPr>
          <w:rFonts w:eastAsia="宋体"/>
          <w:sz w:val="28"/>
        </w:rPr>
      </w:pPr>
      <w:r>
        <w:fldChar w:fldCharType="begin"/>
      </w:r>
      <w:r>
        <w:instrText xml:space="preserve"> HYPERLINK \l "_Toc11606" </w:instrText>
      </w:r>
      <w:r>
        <w:fldChar w:fldCharType="separate"/>
      </w:r>
      <w:r>
        <w:rPr>
          <w:rFonts w:eastAsia="宋体"/>
          <w:b/>
          <w:bCs/>
          <w:sz w:val="28"/>
        </w:rPr>
        <w:t>3  总则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_Toc11606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2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"_Toc16192" </w:instrText>
      </w:r>
      <w:r>
        <w:fldChar w:fldCharType="separate"/>
      </w:r>
      <w:r>
        <w:rPr>
          <w:rFonts w:eastAsia="宋体"/>
          <w:sz w:val="28"/>
        </w:rPr>
        <w:t>3.1</w:t>
      </w:r>
      <w:r>
        <w:rPr>
          <w:rFonts w:hint="eastAsia" w:eastAsia="宋体"/>
          <w:sz w:val="28"/>
        </w:rPr>
        <w:t xml:space="preserve"> 工作目标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_Toc16192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2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"_Toc16286" </w:instrText>
      </w:r>
      <w:r>
        <w:fldChar w:fldCharType="separate"/>
      </w:r>
      <w:r>
        <w:rPr>
          <w:rFonts w:eastAsia="宋体"/>
          <w:sz w:val="28"/>
        </w:rPr>
        <w:t xml:space="preserve">3.2 </w:t>
      </w:r>
      <w:r>
        <w:rPr>
          <w:rFonts w:hint="eastAsia" w:eastAsia="宋体"/>
          <w:sz w:val="28"/>
        </w:rPr>
        <w:t>开发</w:t>
      </w:r>
      <w:r>
        <w:rPr>
          <w:rFonts w:eastAsia="宋体"/>
          <w:sz w:val="28"/>
        </w:rPr>
        <w:t>原则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_Toc16286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2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"_Toc13796" </w:instrText>
      </w:r>
      <w:r>
        <w:fldChar w:fldCharType="separate"/>
      </w:r>
      <w:r>
        <w:rPr>
          <w:rFonts w:eastAsia="宋体"/>
          <w:sz w:val="28"/>
        </w:rPr>
        <w:t>3.2.1 科学性原则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_Toc13796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2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"_Toc24546" </w:instrText>
      </w:r>
      <w:r>
        <w:fldChar w:fldCharType="separate"/>
      </w:r>
      <w:r>
        <w:rPr>
          <w:rFonts w:eastAsia="宋体"/>
          <w:sz w:val="28"/>
        </w:rPr>
        <w:t>3.2.2 规范性原则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_Toc24546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2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"_Toc8872" </w:instrText>
      </w:r>
      <w:r>
        <w:fldChar w:fldCharType="separate"/>
      </w:r>
      <w:r>
        <w:rPr>
          <w:rFonts w:eastAsia="宋体"/>
          <w:sz w:val="28"/>
        </w:rPr>
        <w:t>3.2.3 广泛性原则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_Toc8872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2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"_Toc8839" </w:instrText>
      </w:r>
      <w:r>
        <w:fldChar w:fldCharType="separate"/>
      </w:r>
      <w:r>
        <w:rPr>
          <w:rFonts w:eastAsia="宋体"/>
          <w:sz w:val="28"/>
        </w:rPr>
        <w:t>3.2.4 适应性原则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_Toc8839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3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8"/>
        <w:tabs>
          <w:tab w:val="right" w:leader="dot" w:pos="8844"/>
        </w:tabs>
        <w:spacing w:line="480" w:lineRule="exact"/>
        <w:rPr>
          <w:rFonts w:eastAsia="宋体"/>
          <w:sz w:val="28"/>
        </w:rPr>
      </w:pPr>
      <w:r>
        <w:fldChar w:fldCharType="begin"/>
      </w:r>
      <w:r>
        <w:instrText xml:space="preserve"> HYPERLINK \l "_Toc27399" </w:instrText>
      </w:r>
      <w:r>
        <w:fldChar w:fldCharType="separate"/>
      </w:r>
      <w:r>
        <w:rPr>
          <w:rFonts w:eastAsia="宋体"/>
          <w:b/>
          <w:bCs/>
          <w:sz w:val="28"/>
        </w:rPr>
        <w:t>4  开发流程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_Toc27399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3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"_Toc5915" </w:instrText>
      </w:r>
      <w:r>
        <w:fldChar w:fldCharType="separate"/>
      </w:r>
      <w:r>
        <w:rPr>
          <w:rFonts w:eastAsia="宋体"/>
          <w:sz w:val="28"/>
        </w:rPr>
        <w:t>4.1 组建开发团队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_Toc5915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3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"_Toc10323" </w:instrText>
      </w:r>
      <w:r>
        <w:fldChar w:fldCharType="separate"/>
      </w:r>
      <w:r>
        <w:rPr>
          <w:rFonts w:eastAsia="宋体"/>
          <w:sz w:val="28"/>
        </w:rPr>
        <w:t>4.1.1 结构要求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_Toc10323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3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"_Toc446" </w:instrText>
      </w:r>
      <w:r>
        <w:fldChar w:fldCharType="separate"/>
      </w:r>
      <w:r>
        <w:rPr>
          <w:rFonts w:eastAsia="宋体"/>
          <w:sz w:val="28"/>
        </w:rPr>
        <w:t>4.1.2 能力要求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_Toc446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3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"_Toc9720" </w:instrText>
      </w:r>
      <w:r>
        <w:fldChar w:fldCharType="separate"/>
      </w:r>
      <w:r>
        <w:rPr>
          <w:rFonts w:eastAsia="宋体"/>
          <w:sz w:val="28"/>
        </w:rPr>
        <w:t xml:space="preserve">4.1.3 </w:t>
      </w:r>
      <w:r>
        <w:rPr>
          <w:rFonts w:hint="eastAsia" w:eastAsia="宋体"/>
          <w:sz w:val="28"/>
        </w:rPr>
        <w:t>资历</w:t>
      </w:r>
      <w:r>
        <w:rPr>
          <w:rFonts w:eastAsia="宋体"/>
          <w:sz w:val="28"/>
        </w:rPr>
        <w:t>要求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_Toc9720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4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"_Toc24781" </w:instrText>
      </w:r>
      <w:r>
        <w:fldChar w:fldCharType="separate"/>
      </w:r>
      <w:r>
        <w:rPr>
          <w:rFonts w:eastAsia="宋体"/>
          <w:sz w:val="28"/>
        </w:rPr>
        <w:t>4.2 前期调研与资料收集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_Toc24781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4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"_Toc20211" </w:instrText>
      </w:r>
      <w:r>
        <w:fldChar w:fldCharType="separate"/>
      </w:r>
      <w:r>
        <w:rPr>
          <w:rFonts w:eastAsia="宋体"/>
          <w:sz w:val="28"/>
        </w:rPr>
        <w:t>4.2.1 调研内容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_Toc20211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4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"_Toc10498" </w:instrText>
      </w:r>
      <w:r>
        <w:fldChar w:fldCharType="separate"/>
      </w:r>
      <w:r>
        <w:rPr>
          <w:rFonts w:eastAsia="宋体"/>
          <w:sz w:val="28"/>
        </w:rPr>
        <w:t>4.2.2 资料收集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_Toc10498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5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"_Toc27651" </w:instrText>
      </w:r>
      <w:r>
        <w:fldChar w:fldCharType="separate"/>
      </w:r>
      <w:r>
        <w:rPr>
          <w:rFonts w:eastAsia="宋体"/>
          <w:sz w:val="28"/>
        </w:rPr>
        <w:t>4.3 确定职业技能领域和职业技能等级证书名称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_Toc27651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5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"_Toc13151" </w:instrText>
      </w:r>
      <w:r>
        <w:fldChar w:fldCharType="separate"/>
      </w:r>
      <w:r>
        <w:rPr>
          <w:rFonts w:eastAsia="宋体"/>
          <w:sz w:val="28"/>
        </w:rPr>
        <w:t>4.3.1 确定职业技能领域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_Toc13151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5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"_Toc24669" </w:instrText>
      </w:r>
      <w:r>
        <w:fldChar w:fldCharType="separate"/>
      </w:r>
      <w:r>
        <w:rPr>
          <w:rFonts w:eastAsia="宋体"/>
          <w:sz w:val="28"/>
        </w:rPr>
        <w:t xml:space="preserve">4.3.2 </w:t>
      </w:r>
      <w:r>
        <w:rPr>
          <w:rFonts w:hint="eastAsia" w:eastAsia="宋体"/>
          <w:sz w:val="28"/>
        </w:rPr>
        <w:t>确定职业技能等级证书名称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_Toc24669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5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"_Toc29597" </w:instrText>
      </w:r>
      <w:r>
        <w:fldChar w:fldCharType="separate"/>
      </w:r>
      <w:r>
        <w:rPr>
          <w:rFonts w:eastAsia="宋体"/>
          <w:sz w:val="28"/>
        </w:rPr>
        <w:t>4.4 确定职业技能等级证书范围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_Toc29597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6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"_Toc16609" </w:instrText>
      </w:r>
      <w:r>
        <w:fldChar w:fldCharType="separate"/>
      </w:r>
      <w:r>
        <w:rPr>
          <w:rFonts w:eastAsia="宋体"/>
          <w:sz w:val="28"/>
        </w:rPr>
        <w:t>4.</w:t>
      </w:r>
      <w:r>
        <w:rPr>
          <w:rFonts w:hint="eastAsia" w:eastAsia="宋体"/>
          <w:sz w:val="28"/>
        </w:rPr>
        <w:t>5 划分职业技能等级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_Toc16609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6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8"/>
        <w:tabs>
          <w:tab w:val="right" w:leader="dot" w:pos="8844"/>
        </w:tabs>
        <w:spacing w:line="480" w:lineRule="exact"/>
        <w:rPr>
          <w:rFonts w:eastAsia="宋体"/>
          <w:sz w:val="28"/>
        </w:rPr>
      </w:pPr>
      <w:r>
        <w:fldChar w:fldCharType="begin"/>
      </w:r>
      <w:r>
        <w:instrText xml:space="preserve"> HYPERLINK \l "_Toc763" </w:instrText>
      </w:r>
      <w:r>
        <w:fldChar w:fldCharType="separate"/>
      </w:r>
      <w:r>
        <w:rPr>
          <w:rFonts w:eastAsia="宋体"/>
          <w:b/>
          <w:bCs/>
          <w:sz w:val="28"/>
        </w:rPr>
        <w:t>5 开发职业技能等级标准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_Toc763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7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"_Toc16936" </w:instrText>
      </w:r>
      <w:r>
        <w:fldChar w:fldCharType="separate"/>
      </w:r>
      <w:r>
        <w:rPr>
          <w:rFonts w:eastAsia="宋体"/>
          <w:sz w:val="28"/>
        </w:rPr>
        <w:t>5.1 分析工作领域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_Toc16936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7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"_Toc10913" </w:instrText>
      </w:r>
      <w:r>
        <w:fldChar w:fldCharType="separate"/>
      </w:r>
      <w:r>
        <w:rPr>
          <w:rFonts w:eastAsia="宋体"/>
          <w:sz w:val="28"/>
        </w:rPr>
        <w:t>5.2 分析工作任务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_Toc10913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8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"_Toc7143" </w:instrText>
      </w:r>
      <w:r>
        <w:fldChar w:fldCharType="separate"/>
      </w:r>
      <w:r>
        <w:rPr>
          <w:rFonts w:eastAsia="宋体"/>
          <w:sz w:val="28"/>
        </w:rPr>
        <w:t>5.3 分析职业技能要求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_Toc7143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8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"_Toc12784" </w:instrText>
      </w:r>
      <w:r>
        <w:fldChar w:fldCharType="separate"/>
      </w:r>
      <w:r>
        <w:rPr>
          <w:rFonts w:eastAsia="宋体"/>
          <w:sz w:val="28"/>
        </w:rPr>
        <w:t>5.3.1 行为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_Toc12784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8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"_Toc13431" </w:instrText>
      </w:r>
      <w:r>
        <w:fldChar w:fldCharType="separate"/>
      </w:r>
      <w:r>
        <w:rPr>
          <w:rFonts w:eastAsia="宋体"/>
          <w:sz w:val="28"/>
        </w:rPr>
        <w:t>5.3.2 条件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_Toc13431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8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"_Toc6258" </w:instrText>
      </w:r>
      <w:r>
        <w:fldChar w:fldCharType="separate"/>
      </w:r>
      <w:r>
        <w:rPr>
          <w:rFonts w:eastAsia="宋体"/>
          <w:sz w:val="28"/>
        </w:rPr>
        <w:t>5.3.3 标准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_Toc6258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9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"_Toc15742" </w:instrText>
      </w:r>
      <w:r>
        <w:fldChar w:fldCharType="separate"/>
      </w:r>
      <w:r>
        <w:rPr>
          <w:rFonts w:eastAsia="宋体"/>
          <w:sz w:val="28"/>
        </w:rPr>
        <w:t>5.3.4 结果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_Toc15742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9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8"/>
        <w:tabs>
          <w:tab w:val="right" w:leader="dot" w:pos="8844"/>
        </w:tabs>
        <w:spacing w:line="480" w:lineRule="exact"/>
        <w:rPr>
          <w:rFonts w:eastAsia="宋体"/>
          <w:sz w:val="28"/>
        </w:rPr>
      </w:pPr>
      <w:r>
        <w:fldChar w:fldCharType="begin"/>
      </w:r>
      <w:r>
        <w:instrText xml:space="preserve"> HYPERLINK \l "_Toc24660" </w:instrText>
      </w:r>
      <w:r>
        <w:fldChar w:fldCharType="separate"/>
      </w:r>
      <w:r>
        <w:rPr>
          <w:rFonts w:eastAsia="宋体"/>
          <w:b/>
          <w:bCs/>
          <w:sz w:val="28"/>
        </w:rPr>
        <w:t>6  职业技能等级标准编排格式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_Toc24660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9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"_Toc29459" </w:instrText>
      </w:r>
      <w:r>
        <w:fldChar w:fldCharType="separate"/>
      </w:r>
      <w:r>
        <w:rPr>
          <w:rFonts w:eastAsia="宋体"/>
          <w:sz w:val="28"/>
        </w:rPr>
        <w:t>6.1 文本结构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_Toc29459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9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"_Toc30084" </w:instrText>
      </w:r>
      <w:r>
        <w:fldChar w:fldCharType="separate"/>
      </w:r>
      <w:r>
        <w:rPr>
          <w:rFonts w:eastAsia="宋体"/>
          <w:sz w:val="28"/>
        </w:rPr>
        <w:t>6.1.1 封面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_Toc30084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9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"_Toc30931" </w:instrText>
      </w:r>
      <w:r>
        <w:fldChar w:fldCharType="separate"/>
      </w:r>
      <w:r>
        <w:rPr>
          <w:rFonts w:eastAsia="宋体"/>
          <w:sz w:val="28"/>
        </w:rPr>
        <w:t>6.1.2 目次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_Toc30931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9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"_Toc24301" </w:instrText>
      </w:r>
      <w:r>
        <w:fldChar w:fldCharType="separate"/>
      </w:r>
      <w:r>
        <w:rPr>
          <w:rFonts w:eastAsia="宋体"/>
          <w:sz w:val="28"/>
        </w:rPr>
        <w:t>6.1.3 前言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_Toc24301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10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"_Toc27837" </w:instrText>
      </w:r>
      <w:r>
        <w:fldChar w:fldCharType="separate"/>
      </w:r>
      <w:r>
        <w:rPr>
          <w:rFonts w:eastAsia="宋体"/>
          <w:sz w:val="28"/>
        </w:rPr>
        <w:t>6.1.4 内容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_Toc27837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10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4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"_Toc4710" </w:instrText>
      </w:r>
      <w:r>
        <w:fldChar w:fldCharType="separate"/>
      </w:r>
      <w:r>
        <w:rPr>
          <w:rFonts w:eastAsia="宋体"/>
          <w:sz w:val="28"/>
        </w:rPr>
        <w:t>6.1.5 参考文献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_Toc4710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10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"_Toc17872" </w:instrText>
      </w:r>
      <w:r>
        <w:fldChar w:fldCharType="separate"/>
      </w:r>
      <w:r>
        <w:rPr>
          <w:rFonts w:eastAsia="宋体"/>
          <w:sz w:val="28"/>
        </w:rPr>
        <w:t xml:space="preserve">6.2 </w:t>
      </w:r>
      <w:r>
        <w:rPr>
          <w:rFonts w:hint="eastAsia" w:eastAsia="宋体"/>
          <w:sz w:val="28"/>
        </w:rPr>
        <w:t>出版格式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_Toc17872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10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pStyle w:val="9"/>
        <w:tabs>
          <w:tab w:val="right" w:leader="dot" w:pos="8844"/>
        </w:tabs>
        <w:spacing w:line="480" w:lineRule="exact"/>
        <w:ind w:left="0" w:leftChars="0"/>
        <w:rPr>
          <w:rFonts w:eastAsia="宋体"/>
          <w:sz w:val="28"/>
        </w:rPr>
      </w:pPr>
      <w:r>
        <w:fldChar w:fldCharType="begin"/>
      </w:r>
      <w:r>
        <w:instrText xml:space="preserve"> HYPERLINK \l "_Toc18770" </w:instrText>
      </w:r>
      <w:r>
        <w:fldChar w:fldCharType="separate"/>
      </w:r>
      <w:r>
        <w:rPr>
          <w:rFonts w:hint="eastAsia" w:ascii="黑体" w:hAnsi="黑体" w:eastAsia="宋体"/>
          <w:b/>
          <w:sz w:val="28"/>
          <w:szCs w:val="32"/>
        </w:rPr>
        <w:t>附录 职业技能等级标准编排格式</w:t>
      </w:r>
      <w:r>
        <w:rPr>
          <w:rFonts w:eastAsia="宋体"/>
          <w:sz w:val="28"/>
        </w:rPr>
        <w:tab/>
      </w:r>
      <w:r>
        <w:rPr>
          <w:rFonts w:eastAsia="宋体"/>
          <w:sz w:val="28"/>
        </w:rPr>
        <w:fldChar w:fldCharType="begin"/>
      </w:r>
      <w:r>
        <w:rPr>
          <w:rFonts w:eastAsia="宋体"/>
          <w:sz w:val="28"/>
        </w:rPr>
        <w:instrText xml:space="preserve"> PAGEREF _Toc18770 </w:instrText>
      </w:r>
      <w:r>
        <w:rPr>
          <w:rFonts w:eastAsia="宋体"/>
          <w:sz w:val="28"/>
        </w:rPr>
        <w:fldChar w:fldCharType="separate"/>
      </w:r>
      <w:r>
        <w:rPr>
          <w:rFonts w:eastAsia="宋体"/>
          <w:sz w:val="28"/>
        </w:rPr>
        <w:t>11</w:t>
      </w:r>
      <w:r>
        <w:rPr>
          <w:rFonts w:eastAsia="宋体"/>
          <w:sz w:val="28"/>
        </w:rPr>
        <w:fldChar w:fldCharType="end"/>
      </w:r>
      <w:r>
        <w:rPr>
          <w:rFonts w:eastAsia="宋体"/>
          <w:sz w:val="28"/>
        </w:rPr>
        <w:fldChar w:fldCharType="end"/>
      </w:r>
    </w:p>
    <w:p>
      <w:pPr>
        <w:overflowPunct w:val="0"/>
        <w:spacing w:line="480" w:lineRule="exact"/>
        <w:ind w:firstLine="420"/>
        <w:rPr>
          <w:rFonts w:eastAsia="方正小标宋简体"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2098" w:right="1474" w:bottom="1985" w:left="1588" w:header="851" w:footer="397" w:gutter="0"/>
          <w:pgNumType w:fmt="upperRoman" w:start="1"/>
          <w:cols w:space="720" w:num="1"/>
          <w:docGrid w:type="lines" w:linePitch="579" w:charSpace="21679"/>
        </w:sectPr>
      </w:pPr>
      <w:r>
        <w:rPr>
          <w:rFonts w:eastAsia="方正小标宋简体"/>
          <w:szCs w:val="44"/>
        </w:rPr>
        <w:fldChar w:fldCharType="end"/>
      </w:r>
    </w:p>
    <w:p>
      <w:pPr>
        <w:overflowPunct w:val="0"/>
        <w:rPr>
          <w:rFonts w:eastAsia="方正小标宋简体"/>
          <w:sz w:val="44"/>
          <w:szCs w:val="44"/>
        </w:rPr>
      </w:pPr>
    </w:p>
    <w:p>
      <w:pPr>
        <w:overflowPunct w:val="0"/>
        <w:jc w:val="center"/>
        <w:outlineLvl w:val="0"/>
        <w:rPr>
          <w:rFonts w:eastAsia="方正小标宋简体"/>
          <w:sz w:val="44"/>
          <w:szCs w:val="44"/>
        </w:rPr>
      </w:pPr>
      <w:bookmarkStart w:id="0" w:name="_Toc18685"/>
      <w:bookmarkStart w:id="1" w:name="_Toc7311"/>
      <w:bookmarkStart w:id="2" w:name="_Toc5192"/>
      <w:bookmarkStart w:id="3" w:name="_Toc4755"/>
      <w:r>
        <w:rPr>
          <w:rFonts w:eastAsia="方正小标宋简体"/>
          <w:sz w:val="44"/>
          <w:szCs w:val="44"/>
        </w:rPr>
        <w:t>职业技能等级标准开发指南</w:t>
      </w:r>
      <w:bookmarkEnd w:id="0"/>
      <w:bookmarkEnd w:id="1"/>
      <w:bookmarkEnd w:id="2"/>
      <w:bookmarkEnd w:id="3"/>
      <w:r>
        <w:rPr>
          <w:rFonts w:hint="eastAsia" w:eastAsia="方正小标宋简体"/>
          <w:sz w:val="44"/>
          <w:szCs w:val="44"/>
        </w:rPr>
        <w:t>（试行）</w:t>
      </w:r>
    </w:p>
    <w:p>
      <w:pPr>
        <w:overflowPunct w:val="0"/>
        <w:ind w:firstLine="640" w:firstLineChars="200"/>
        <w:rPr>
          <w:rFonts w:eastAsia="方正仿宋简体"/>
        </w:rPr>
      </w:pPr>
    </w:p>
    <w:p>
      <w:pPr>
        <w:outlineLvl w:val="0"/>
        <w:rPr>
          <w:rFonts w:eastAsia="黑体"/>
        </w:rPr>
      </w:pPr>
      <w:bookmarkStart w:id="4" w:name="_Toc18993"/>
      <w:bookmarkStart w:id="5" w:name="_Toc19711"/>
      <w:bookmarkStart w:id="6" w:name="_Toc17410"/>
      <w:bookmarkStart w:id="7" w:name="_Toc27772"/>
      <w:r>
        <w:rPr>
          <w:rFonts w:eastAsia="黑体"/>
        </w:rPr>
        <w:t>1  范围</w:t>
      </w:r>
      <w:bookmarkEnd w:id="4"/>
      <w:bookmarkEnd w:id="5"/>
      <w:bookmarkEnd w:id="6"/>
      <w:bookmarkEnd w:id="7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本指南依据国务院《国家职业教育改革实施方案》和教育部等四部门《关于在院校实施“学历证书+若干职业技能等级证书”制度试点方案》编制，</w:t>
      </w:r>
      <w:r>
        <w:rPr>
          <w:rFonts w:hint="eastAsia" w:eastAsia="方正仿宋简体"/>
        </w:rPr>
        <w:t>提出</w:t>
      </w:r>
      <w:r>
        <w:rPr>
          <w:rFonts w:eastAsia="方正仿宋简体"/>
        </w:rPr>
        <w:t>了职业技能等级标准的内容结构、编写表述规则和格式要求</w:t>
      </w:r>
      <w:r>
        <w:rPr>
          <w:rFonts w:hint="eastAsia" w:eastAsia="方正仿宋简体"/>
        </w:rPr>
        <w:t>，对</w:t>
      </w:r>
      <w:r>
        <w:rPr>
          <w:rFonts w:eastAsia="方正仿宋简体"/>
        </w:rPr>
        <w:t>开发工作流程</w:t>
      </w:r>
      <w:r>
        <w:rPr>
          <w:rFonts w:hint="eastAsia" w:eastAsia="方正仿宋简体"/>
        </w:rPr>
        <w:t>做了</w:t>
      </w:r>
      <w:r>
        <w:rPr>
          <w:rFonts w:eastAsia="方正仿宋简体"/>
        </w:rPr>
        <w:t>一般性指导。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本指南适用于</w:t>
      </w:r>
      <w:r>
        <w:rPr>
          <w:rFonts w:hint="eastAsia" w:eastAsia="方正仿宋简体"/>
        </w:rPr>
        <w:t>但不限于1+X证书制度试点工作中</w:t>
      </w:r>
      <w:r>
        <w:rPr>
          <w:rFonts w:eastAsia="方正仿宋简体"/>
        </w:rPr>
        <w:t>实施的</w:t>
      </w:r>
      <w:r>
        <w:rPr>
          <w:rFonts w:hint="eastAsia" w:eastAsia="方正仿宋简体"/>
        </w:rPr>
        <w:t>职业技能等级证书所对应</w:t>
      </w:r>
      <w:r>
        <w:rPr>
          <w:rFonts w:eastAsia="方正仿宋简体"/>
        </w:rPr>
        <w:t>职业技能等级标准的开发。</w:t>
      </w:r>
    </w:p>
    <w:p>
      <w:pPr>
        <w:overflowPunct w:val="0"/>
        <w:outlineLvl w:val="0"/>
        <w:rPr>
          <w:rFonts w:eastAsia="黑体"/>
        </w:rPr>
      </w:pPr>
      <w:bookmarkStart w:id="8" w:name="_Toc21234"/>
      <w:bookmarkStart w:id="9" w:name="_Toc17004"/>
      <w:bookmarkStart w:id="10" w:name="_Toc7098"/>
      <w:bookmarkStart w:id="11" w:name="_Toc21959"/>
      <w:r>
        <w:rPr>
          <w:rFonts w:eastAsia="黑体"/>
        </w:rPr>
        <w:t>2  术语和定义</w:t>
      </w:r>
      <w:bookmarkEnd w:id="8"/>
      <w:bookmarkEnd w:id="9"/>
      <w:bookmarkEnd w:id="10"/>
      <w:bookmarkEnd w:id="11"/>
    </w:p>
    <w:p>
      <w:pPr>
        <w:overflowPunct w:val="0"/>
        <w:outlineLvl w:val="1"/>
        <w:rPr>
          <w:rFonts w:eastAsia="楷体_GB2312"/>
        </w:rPr>
      </w:pPr>
      <w:bookmarkStart w:id="12" w:name="_Toc23655"/>
      <w:bookmarkStart w:id="13" w:name="_Toc17260"/>
      <w:r>
        <w:rPr>
          <w:rFonts w:eastAsia="楷体_GB2312"/>
        </w:rPr>
        <w:t>2.1 职业技能</w:t>
      </w:r>
      <w:bookmarkEnd w:id="12"/>
      <w:bookmarkEnd w:id="13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hint="eastAsia" w:eastAsia="方正仿宋简体"/>
        </w:rPr>
        <w:t>个体完</w:t>
      </w:r>
      <w:r>
        <w:rPr>
          <w:rFonts w:eastAsia="方正仿宋简体"/>
        </w:rPr>
        <w:t>成某</w:t>
      </w:r>
      <w:r>
        <w:rPr>
          <w:rFonts w:hint="eastAsia" w:eastAsia="方正仿宋简体"/>
        </w:rPr>
        <w:t>个职业岗位或</w:t>
      </w:r>
      <w:r>
        <w:rPr>
          <w:rFonts w:eastAsia="方正仿宋简体"/>
        </w:rPr>
        <w:t>职业岗位</w:t>
      </w:r>
      <w:r>
        <w:rPr>
          <w:rFonts w:hint="eastAsia" w:eastAsia="方正仿宋简体"/>
        </w:rPr>
        <w:t>群</w:t>
      </w:r>
      <w:r>
        <w:rPr>
          <w:rFonts w:eastAsia="方正仿宋简体"/>
        </w:rPr>
        <w:t>工作任务的能力。</w:t>
      </w:r>
    </w:p>
    <w:p>
      <w:pPr>
        <w:overflowPunct w:val="0"/>
        <w:outlineLvl w:val="1"/>
        <w:rPr>
          <w:rFonts w:eastAsia="楷体_GB2312"/>
        </w:rPr>
      </w:pPr>
      <w:bookmarkStart w:id="14" w:name="_Toc20306"/>
      <w:bookmarkStart w:id="15" w:name="_Toc13377"/>
      <w:r>
        <w:rPr>
          <w:rFonts w:eastAsia="楷体_GB2312"/>
        </w:rPr>
        <w:t>2.2 工作领域</w:t>
      </w:r>
      <w:bookmarkEnd w:id="14"/>
      <w:bookmarkEnd w:id="15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将职业岗位或职业岗位群所涉及的职业活动，按工作性质和要求</w:t>
      </w:r>
      <w:r>
        <w:rPr>
          <w:rFonts w:hint="eastAsia" w:eastAsia="方正仿宋简体"/>
        </w:rPr>
        <w:t>等</w:t>
      </w:r>
      <w:r>
        <w:rPr>
          <w:rFonts w:eastAsia="方正仿宋简体"/>
        </w:rPr>
        <w:t>分解成若干个工作范畴或范围。</w:t>
      </w:r>
    </w:p>
    <w:p>
      <w:pPr>
        <w:overflowPunct w:val="0"/>
        <w:outlineLvl w:val="1"/>
        <w:rPr>
          <w:rFonts w:eastAsia="楷体_GB2312"/>
        </w:rPr>
      </w:pPr>
      <w:bookmarkStart w:id="16" w:name="_Toc13328"/>
      <w:bookmarkStart w:id="17" w:name="_Toc4036"/>
      <w:r>
        <w:rPr>
          <w:rFonts w:eastAsia="楷体_GB2312"/>
        </w:rPr>
        <w:t>2.3 工作任务</w:t>
      </w:r>
      <w:bookmarkEnd w:id="16"/>
      <w:bookmarkEnd w:id="17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hint="eastAsia" w:eastAsia="方正仿宋简体"/>
        </w:rPr>
        <w:t>职业岗位的工作内容，</w:t>
      </w:r>
      <w:r>
        <w:rPr>
          <w:rFonts w:eastAsia="方正仿宋简体"/>
        </w:rPr>
        <w:t>是通过对</w:t>
      </w:r>
      <w:r>
        <w:rPr>
          <w:rFonts w:hint="eastAsia" w:eastAsia="方正仿宋简体"/>
        </w:rPr>
        <w:t>从业者</w:t>
      </w:r>
      <w:r>
        <w:rPr>
          <w:rFonts w:eastAsia="方正仿宋简体"/>
        </w:rPr>
        <w:t>的实际工作提炼、概括而形成的具有普遍性、稳定性</w:t>
      </w:r>
      <w:r>
        <w:rPr>
          <w:rFonts w:hint="eastAsia" w:eastAsia="方正仿宋简体"/>
        </w:rPr>
        <w:t>、持续性</w:t>
      </w:r>
      <w:r>
        <w:rPr>
          <w:rFonts w:eastAsia="方正仿宋简体"/>
        </w:rPr>
        <w:t>的工作</w:t>
      </w:r>
      <w:r>
        <w:rPr>
          <w:rFonts w:hint="eastAsia" w:eastAsia="方正仿宋简体"/>
        </w:rPr>
        <w:t>项目。</w:t>
      </w:r>
    </w:p>
    <w:p>
      <w:pPr>
        <w:overflowPunct w:val="0"/>
        <w:outlineLvl w:val="1"/>
        <w:rPr>
          <w:rFonts w:eastAsia="楷体_GB2312"/>
        </w:rPr>
      </w:pPr>
      <w:bookmarkStart w:id="18" w:name="_Toc6068"/>
      <w:bookmarkStart w:id="19" w:name="_Toc5815"/>
      <w:r>
        <w:rPr>
          <w:rFonts w:eastAsia="楷体_GB2312"/>
        </w:rPr>
        <w:t>2.4 职业技能等级标准</w:t>
      </w:r>
      <w:bookmarkEnd w:id="18"/>
      <w:bookmarkEnd w:id="19"/>
    </w:p>
    <w:p>
      <w:pPr>
        <w:overflowPunct w:val="0"/>
        <w:ind w:firstLine="640" w:firstLineChars="200"/>
        <w:rPr>
          <w:rFonts w:eastAsia="方正仿宋简体"/>
          <w:highlight w:val="yellow"/>
        </w:rPr>
      </w:pPr>
      <w:r>
        <w:rPr>
          <w:rFonts w:eastAsia="方正仿宋简体"/>
        </w:rPr>
        <w:t>对</w:t>
      </w:r>
      <w:r>
        <w:rPr>
          <w:rFonts w:hint="eastAsia" w:eastAsia="方正仿宋简体"/>
        </w:rPr>
        <w:t>个体</w:t>
      </w:r>
      <w:r>
        <w:rPr>
          <w:rFonts w:eastAsia="方正仿宋简体"/>
        </w:rPr>
        <w:t>职业技能要求的综合性水平规定，</w:t>
      </w:r>
      <w:r>
        <w:rPr>
          <w:rFonts w:hint="eastAsia" w:eastAsia="方正仿宋简体"/>
        </w:rPr>
        <w:t>包括职业素养、专业知识和技术技能等方面的综合要求，</w:t>
      </w:r>
      <w:r>
        <w:rPr>
          <w:rFonts w:eastAsia="方正仿宋简体"/>
        </w:rPr>
        <w:t>一般分为初级、中级、高级，是开展职业技能培训和职业技能等级考核评价的基本依据。</w:t>
      </w:r>
      <w:r>
        <w:rPr>
          <w:rFonts w:hint="eastAsia" w:eastAsia="方正仿宋简体"/>
        </w:rPr>
        <w:t xml:space="preserve">  </w:t>
      </w:r>
    </w:p>
    <w:p>
      <w:pPr>
        <w:overflowPunct w:val="0"/>
        <w:outlineLvl w:val="0"/>
        <w:rPr>
          <w:rFonts w:eastAsia="黑体"/>
        </w:rPr>
      </w:pPr>
      <w:bookmarkStart w:id="20" w:name="_Toc11606"/>
      <w:bookmarkStart w:id="21" w:name="_Toc31045"/>
      <w:bookmarkStart w:id="22" w:name="_Toc30114"/>
      <w:bookmarkStart w:id="23" w:name="_Toc9252"/>
      <w:r>
        <w:rPr>
          <w:rFonts w:eastAsia="黑体"/>
        </w:rPr>
        <w:t>3  总则</w:t>
      </w:r>
      <w:bookmarkEnd w:id="20"/>
      <w:bookmarkEnd w:id="21"/>
      <w:bookmarkEnd w:id="22"/>
      <w:bookmarkEnd w:id="23"/>
    </w:p>
    <w:p>
      <w:pPr>
        <w:overflowPunct w:val="0"/>
        <w:outlineLvl w:val="1"/>
        <w:rPr>
          <w:rFonts w:eastAsia="楷体_GB2312"/>
        </w:rPr>
      </w:pPr>
      <w:bookmarkStart w:id="24" w:name="_Toc17915"/>
      <w:bookmarkStart w:id="25" w:name="_Toc16192"/>
      <w:r>
        <w:rPr>
          <w:rFonts w:eastAsia="楷体_GB2312"/>
        </w:rPr>
        <w:t>3.1</w:t>
      </w:r>
      <w:r>
        <w:rPr>
          <w:rFonts w:hint="eastAsia" w:eastAsia="楷体_GB2312"/>
        </w:rPr>
        <w:t xml:space="preserve"> 工作目标</w:t>
      </w:r>
      <w:bookmarkEnd w:id="24"/>
      <w:bookmarkEnd w:id="25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依据职业标准，借鉴国际国内先进标准，对接科技发展趋势、市场需求</w:t>
      </w:r>
      <w:r>
        <w:rPr>
          <w:rFonts w:hint="eastAsia" w:eastAsia="方正仿宋简体"/>
        </w:rPr>
        <w:t>，衔接</w:t>
      </w:r>
      <w:r>
        <w:rPr>
          <w:rFonts w:eastAsia="方正仿宋简体"/>
        </w:rPr>
        <w:t>专业教学标准，开发有关职业技能等级标准，建立职业技能</w:t>
      </w:r>
      <w:r>
        <w:rPr>
          <w:rFonts w:hint="eastAsia" w:eastAsia="方正仿宋简体"/>
        </w:rPr>
        <w:t>等级</w:t>
      </w:r>
      <w:r>
        <w:rPr>
          <w:rFonts w:eastAsia="方正仿宋简体"/>
        </w:rPr>
        <w:t>标准体系</w:t>
      </w:r>
      <w:r>
        <w:rPr>
          <w:rFonts w:hint="eastAsia" w:eastAsia="方正仿宋简体"/>
        </w:rPr>
        <w:t>，</w:t>
      </w:r>
      <w:r>
        <w:rPr>
          <w:rFonts w:eastAsia="方正仿宋简体"/>
        </w:rPr>
        <w:t>推进1+X证书制度试点工作</w:t>
      </w:r>
      <w:r>
        <w:rPr>
          <w:rFonts w:hint="eastAsia" w:eastAsia="方正仿宋简体"/>
        </w:rPr>
        <w:t>，</w:t>
      </w:r>
      <w:r>
        <w:rPr>
          <w:rFonts w:eastAsia="方正仿宋简体"/>
        </w:rPr>
        <w:t>深化复合型技术技能人才培养培训模式和评价模式改革，畅通技术技能人才成长通道，拓展就业创业本领</w:t>
      </w:r>
      <w:r>
        <w:rPr>
          <w:rFonts w:hint="eastAsia" w:eastAsia="方正仿宋简体"/>
        </w:rPr>
        <w:t>，促进学习者灵活、高质量就业。</w:t>
      </w:r>
    </w:p>
    <w:p>
      <w:pPr>
        <w:overflowPunct w:val="0"/>
        <w:outlineLvl w:val="1"/>
        <w:rPr>
          <w:rFonts w:eastAsia="楷体_GB2312"/>
        </w:rPr>
      </w:pPr>
      <w:bookmarkStart w:id="26" w:name="_Toc16286"/>
      <w:bookmarkStart w:id="27" w:name="_Toc18550"/>
      <w:r>
        <w:rPr>
          <w:rFonts w:eastAsia="楷体_GB2312"/>
        </w:rPr>
        <w:t xml:space="preserve">3.2 </w:t>
      </w:r>
      <w:r>
        <w:rPr>
          <w:rFonts w:hint="eastAsia" w:eastAsia="楷体_GB2312"/>
        </w:rPr>
        <w:t>开发</w:t>
      </w:r>
      <w:r>
        <w:rPr>
          <w:rFonts w:eastAsia="楷体_GB2312"/>
        </w:rPr>
        <w:t>原则</w:t>
      </w:r>
      <w:bookmarkEnd w:id="26"/>
      <w:bookmarkEnd w:id="27"/>
    </w:p>
    <w:p>
      <w:pPr>
        <w:overflowPunct w:val="0"/>
        <w:outlineLvl w:val="2"/>
        <w:rPr>
          <w:rFonts w:eastAsia="方正仿宋简体"/>
        </w:rPr>
      </w:pPr>
      <w:bookmarkStart w:id="28" w:name="_Toc13796"/>
      <w:bookmarkStart w:id="29" w:name="_Toc4262"/>
      <w:r>
        <w:rPr>
          <w:rFonts w:eastAsia="方正仿宋简体"/>
        </w:rPr>
        <w:t>3.2.1 科学性原则</w:t>
      </w:r>
      <w:bookmarkEnd w:id="28"/>
      <w:bookmarkEnd w:id="29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职业技能等级标准的</w:t>
      </w:r>
      <w:r>
        <w:rPr>
          <w:rFonts w:hint="eastAsia" w:eastAsia="方正仿宋简体"/>
        </w:rPr>
        <w:t>开发</w:t>
      </w:r>
      <w:r>
        <w:rPr>
          <w:rFonts w:eastAsia="方正仿宋简体"/>
        </w:rPr>
        <w:t>应依据职业标准并结合职业岗位或职业岗位群工作任务，客观、准确地确定标准的范围、等级及职业技能要求。</w:t>
      </w:r>
    </w:p>
    <w:p>
      <w:pPr>
        <w:overflowPunct w:val="0"/>
        <w:outlineLvl w:val="2"/>
        <w:rPr>
          <w:rFonts w:eastAsia="方正仿宋简体"/>
        </w:rPr>
      </w:pPr>
      <w:bookmarkStart w:id="30" w:name="_Toc2719"/>
      <w:bookmarkStart w:id="31" w:name="_Toc24546"/>
      <w:r>
        <w:rPr>
          <w:rFonts w:eastAsia="方正仿宋简体"/>
        </w:rPr>
        <w:t>3.2.2 规范性原则</w:t>
      </w:r>
      <w:bookmarkEnd w:id="30"/>
      <w:bookmarkEnd w:id="31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职业技能等级标准应依据本指南所规定的标准框架、程序与方法等</w:t>
      </w:r>
      <w:r>
        <w:rPr>
          <w:rFonts w:hint="eastAsia" w:eastAsia="方正仿宋简体"/>
        </w:rPr>
        <w:t>开发</w:t>
      </w:r>
      <w:r>
        <w:rPr>
          <w:rFonts w:eastAsia="方正仿宋简体"/>
        </w:rPr>
        <w:t>，表述准确、规范，层次清晰，逻辑严谨，专业术语</w:t>
      </w:r>
      <w:r>
        <w:rPr>
          <w:rFonts w:hint="eastAsia" w:eastAsia="方正仿宋简体"/>
        </w:rPr>
        <w:t>和定义</w:t>
      </w:r>
      <w:r>
        <w:rPr>
          <w:rFonts w:eastAsia="方正仿宋简体"/>
        </w:rPr>
        <w:t>符合所属行业最新国家标准和规范</w:t>
      </w:r>
      <w:r>
        <w:rPr>
          <w:rFonts w:hint="eastAsia" w:eastAsia="方正仿宋简体"/>
        </w:rPr>
        <w:t>，前后一致</w:t>
      </w:r>
      <w:r>
        <w:rPr>
          <w:rFonts w:eastAsia="方正仿宋简体"/>
        </w:rPr>
        <w:t>，内容应及时反映产业主流技术</w:t>
      </w:r>
      <w:r>
        <w:rPr>
          <w:rFonts w:hint="eastAsia" w:eastAsia="方正仿宋简体"/>
        </w:rPr>
        <w:t>，</w:t>
      </w:r>
      <w:r>
        <w:rPr>
          <w:rFonts w:eastAsia="方正仿宋简体"/>
        </w:rPr>
        <w:t>体现行业最新要求。</w:t>
      </w:r>
    </w:p>
    <w:p>
      <w:pPr>
        <w:overflowPunct w:val="0"/>
        <w:outlineLvl w:val="2"/>
        <w:rPr>
          <w:rFonts w:eastAsia="方正仿宋简体"/>
        </w:rPr>
      </w:pPr>
      <w:bookmarkStart w:id="32" w:name="_Toc8872"/>
      <w:bookmarkStart w:id="33" w:name="_Toc8388"/>
      <w:r>
        <w:rPr>
          <w:rFonts w:eastAsia="方正仿宋简体"/>
        </w:rPr>
        <w:t>3.2.3 广泛性原则</w:t>
      </w:r>
      <w:bookmarkEnd w:id="32"/>
      <w:bookmarkEnd w:id="33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职业技能等级标准的</w:t>
      </w:r>
      <w:r>
        <w:rPr>
          <w:rFonts w:hint="eastAsia" w:eastAsia="方正仿宋简体"/>
        </w:rPr>
        <w:t>开发</w:t>
      </w:r>
      <w:r>
        <w:rPr>
          <w:rFonts w:eastAsia="方正仿宋简体"/>
        </w:rPr>
        <w:t>应联合行业、企业、</w:t>
      </w:r>
      <w:r>
        <w:rPr>
          <w:rFonts w:hint="eastAsia" w:eastAsia="方正仿宋简体"/>
        </w:rPr>
        <w:t>院校</w:t>
      </w:r>
      <w:r>
        <w:rPr>
          <w:rFonts w:eastAsia="方正仿宋简体"/>
        </w:rPr>
        <w:t>等相关各方参与，</w:t>
      </w:r>
      <w:r>
        <w:rPr>
          <w:rFonts w:hint="eastAsia" w:eastAsia="方正仿宋简体"/>
        </w:rPr>
        <w:t>提高</w:t>
      </w:r>
      <w:r>
        <w:rPr>
          <w:rFonts w:eastAsia="方正仿宋简体"/>
        </w:rPr>
        <w:t>标准</w:t>
      </w:r>
      <w:r>
        <w:rPr>
          <w:rFonts w:hint="eastAsia" w:eastAsia="方正仿宋简体"/>
        </w:rPr>
        <w:t>含金量和权威性</w:t>
      </w:r>
      <w:r>
        <w:rPr>
          <w:rFonts w:eastAsia="方正仿宋简体"/>
        </w:rPr>
        <w:t>，赢得</w:t>
      </w:r>
      <w:r>
        <w:rPr>
          <w:rFonts w:hint="eastAsia" w:eastAsia="方正仿宋简体"/>
        </w:rPr>
        <w:t>行业企业</w:t>
      </w:r>
      <w:r>
        <w:rPr>
          <w:rFonts w:eastAsia="方正仿宋简体"/>
        </w:rPr>
        <w:t>广泛认可，保障标准实施。</w:t>
      </w:r>
    </w:p>
    <w:p>
      <w:pPr>
        <w:overflowPunct w:val="0"/>
        <w:outlineLvl w:val="2"/>
        <w:rPr>
          <w:rFonts w:eastAsia="方正仿宋简体"/>
        </w:rPr>
      </w:pPr>
      <w:bookmarkStart w:id="34" w:name="_Toc7960"/>
      <w:bookmarkStart w:id="35" w:name="_Toc8839"/>
      <w:r>
        <w:rPr>
          <w:rFonts w:eastAsia="方正仿宋简体"/>
        </w:rPr>
        <w:t>3.2.4 适应性原则</w:t>
      </w:r>
      <w:bookmarkEnd w:id="34"/>
      <w:bookmarkEnd w:id="35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职业技能等级标准应</w:t>
      </w:r>
      <w:r>
        <w:rPr>
          <w:rFonts w:hint="eastAsia" w:eastAsia="方正仿宋简体"/>
        </w:rPr>
        <w:t>反映</w:t>
      </w:r>
      <w:r>
        <w:rPr>
          <w:rFonts w:eastAsia="方正仿宋简体"/>
        </w:rPr>
        <w:t>行业、企业最新技术技能发展水平</w:t>
      </w:r>
      <w:r>
        <w:rPr>
          <w:rFonts w:hint="eastAsia" w:eastAsia="方正仿宋简体"/>
        </w:rPr>
        <w:t>，</w:t>
      </w:r>
      <w:r>
        <w:rPr>
          <w:rFonts w:eastAsia="方正仿宋简体"/>
        </w:rPr>
        <w:t>体现产业发展新技术、新工艺、新规范、新要求，适应不同地域之间可能存在的差异，符合职业</w:t>
      </w:r>
      <w:r>
        <w:rPr>
          <w:rFonts w:hint="eastAsia" w:eastAsia="方正仿宋简体"/>
        </w:rPr>
        <w:t>院校</w:t>
      </w:r>
      <w:r>
        <w:rPr>
          <w:rFonts w:eastAsia="方正仿宋简体"/>
        </w:rPr>
        <w:t>教学规律，满足</w:t>
      </w:r>
      <w:r>
        <w:rPr>
          <w:rFonts w:hint="eastAsia" w:eastAsia="方正仿宋简体"/>
        </w:rPr>
        <w:t>院校</w:t>
      </w:r>
      <w:r>
        <w:rPr>
          <w:rFonts w:eastAsia="方正仿宋简体"/>
        </w:rPr>
        <w:t>教学实际需求，内容应具体化，可度量、可检验、可操作。</w:t>
      </w:r>
    </w:p>
    <w:p>
      <w:pPr>
        <w:overflowPunct w:val="0"/>
        <w:outlineLvl w:val="0"/>
        <w:rPr>
          <w:rFonts w:eastAsia="黑体"/>
        </w:rPr>
      </w:pPr>
      <w:bookmarkStart w:id="36" w:name="_Toc27399"/>
      <w:bookmarkStart w:id="37" w:name="_Toc15102"/>
      <w:bookmarkStart w:id="38" w:name="_Toc17534"/>
      <w:bookmarkStart w:id="39" w:name="_Toc8520"/>
      <w:r>
        <w:rPr>
          <w:rFonts w:eastAsia="黑体"/>
        </w:rPr>
        <w:t>4  开发流程</w:t>
      </w:r>
      <w:bookmarkEnd w:id="36"/>
      <w:bookmarkEnd w:id="37"/>
      <w:bookmarkEnd w:id="38"/>
      <w:bookmarkEnd w:id="39"/>
    </w:p>
    <w:p>
      <w:pPr>
        <w:overflowPunct w:val="0"/>
        <w:outlineLvl w:val="1"/>
        <w:rPr>
          <w:rFonts w:eastAsia="楷体_GB2312"/>
        </w:rPr>
      </w:pPr>
      <w:bookmarkStart w:id="40" w:name="_Toc22294"/>
      <w:bookmarkStart w:id="41" w:name="_Toc5915"/>
      <w:r>
        <w:rPr>
          <w:rFonts w:eastAsia="楷体_GB2312"/>
        </w:rPr>
        <w:t>4.1 组建开发团队</w:t>
      </w:r>
      <w:bookmarkEnd w:id="40"/>
      <w:bookmarkEnd w:id="41"/>
    </w:p>
    <w:p>
      <w:pPr>
        <w:overflowPunct w:val="0"/>
        <w:outlineLvl w:val="2"/>
        <w:rPr>
          <w:rFonts w:eastAsia="方正仿宋简体"/>
        </w:rPr>
      </w:pPr>
      <w:bookmarkStart w:id="42" w:name="_Toc10323"/>
      <w:bookmarkStart w:id="43" w:name="_Toc22051"/>
      <w:r>
        <w:rPr>
          <w:rFonts w:eastAsia="方正仿宋简体"/>
        </w:rPr>
        <w:t>4.1.1 结构要求</w:t>
      </w:r>
      <w:bookmarkEnd w:id="42"/>
      <w:bookmarkEnd w:id="43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应覆盖标准</w:t>
      </w:r>
      <w:r>
        <w:rPr>
          <w:rFonts w:hint="eastAsia" w:eastAsia="方正仿宋简体"/>
        </w:rPr>
        <w:t>所</w:t>
      </w:r>
      <w:r>
        <w:rPr>
          <w:rFonts w:eastAsia="方正仿宋简体"/>
        </w:rPr>
        <w:t>适用工作领域的相关专家，包括行业权威专家，龙头、优质企业管理和技术骨干、高技能人才，院校专业带头人或教学创新团队</w:t>
      </w:r>
      <w:r>
        <w:rPr>
          <w:rFonts w:hint="eastAsia" w:eastAsia="方正仿宋简体"/>
        </w:rPr>
        <w:t>成员</w:t>
      </w:r>
      <w:r>
        <w:rPr>
          <w:rFonts w:eastAsia="方正仿宋简体"/>
        </w:rPr>
        <w:t>、骨干教师以及职业教育领域的专家学者</w:t>
      </w:r>
      <w:r>
        <w:rPr>
          <w:rFonts w:hint="eastAsia" w:eastAsia="方正仿宋简体"/>
        </w:rPr>
        <w:t>等</w:t>
      </w:r>
      <w:r>
        <w:rPr>
          <w:rFonts w:eastAsia="方正仿宋简体"/>
        </w:rPr>
        <w:t>，其中行业企业专家原则上不少于三分之二。</w:t>
      </w:r>
    </w:p>
    <w:p>
      <w:pPr>
        <w:overflowPunct w:val="0"/>
        <w:outlineLvl w:val="2"/>
        <w:rPr>
          <w:rFonts w:eastAsia="方正仿宋简体"/>
        </w:rPr>
      </w:pPr>
      <w:bookmarkStart w:id="44" w:name="_Toc14060"/>
      <w:bookmarkStart w:id="45" w:name="_Toc446"/>
      <w:r>
        <w:rPr>
          <w:rFonts w:eastAsia="方正仿宋简体"/>
        </w:rPr>
        <w:t>4.1.2 能力要求</w:t>
      </w:r>
      <w:bookmarkEnd w:id="44"/>
      <w:bookmarkEnd w:id="45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专家应熟悉本行业法律法规及国家标准、行业标准，熟悉国民经济</w:t>
      </w:r>
      <w:r>
        <w:rPr>
          <w:rFonts w:hint="eastAsia" w:eastAsia="方正仿宋简体"/>
        </w:rPr>
        <w:t>行业</w:t>
      </w:r>
      <w:r>
        <w:rPr>
          <w:rFonts w:eastAsia="方正仿宋简体"/>
        </w:rPr>
        <w:t>分类和国家职业分类，熟悉产业发展趋势和本行业、本专业领域最新的工艺流程、技术规范、操作规程等，熟悉企业生产组织方式和相关岗位职责、技能要求、用人标准及管理制度，具备较强的发现、分析和解决问题的能力，能开展相关领域职业及工作任务分析。</w:t>
      </w:r>
    </w:p>
    <w:p>
      <w:pPr>
        <w:overflowPunct w:val="0"/>
        <w:outlineLvl w:val="2"/>
        <w:rPr>
          <w:rFonts w:eastAsia="方正仿宋简体"/>
        </w:rPr>
      </w:pPr>
      <w:bookmarkStart w:id="46" w:name="_Toc9720"/>
      <w:bookmarkStart w:id="47" w:name="_Toc13042"/>
      <w:r>
        <w:rPr>
          <w:rFonts w:eastAsia="方正仿宋简体"/>
        </w:rPr>
        <w:t xml:space="preserve">4.1.3 </w:t>
      </w:r>
      <w:r>
        <w:rPr>
          <w:rFonts w:hint="eastAsia" w:eastAsia="方正仿宋简体"/>
        </w:rPr>
        <w:t>资历</w:t>
      </w:r>
      <w:r>
        <w:rPr>
          <w:rFonts w:eastAsia="方正仿宋简体"/>
        </w:rPr>
        <w:t>要求</w:t>
      </w:r>
      <w:bookmarkEnd w:id="46"/>
      <w:bookmarkEnd w:id="47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专家一般应具有15年以上</w:t>
      </w:r>
      <w:r>
        <w:rPr>
          <w:rFonts w:hint="eastAsia" w:eastAsia="方正仿宋简体"/>
        </w:rPr>
        <w:t>相关</w:t>
      </w:r>
      <w:r>
        <w:rPr>
          <w:rFonts w:eastAsia="方正仿宋简体"/>
        </w:rPr>
        <w:t>工作经历，新兴行业技术人员、能工巧匠可适当放宽</w:t>
      </w:r>
      <w:r>
        <w:rPr>
          <w:rFonts w:hint="eastAsia" w:eastAsia="方正仿宋简体"/>
        </w:rPr>
        <w:t>相关</w:t>
      </w:r>
      <w:r>
        <w:rPr>
          <w:rFonts w:eastAsia="方正仿宋简体"/>
        </w:rPr>
        <w:t>工作经历和年限要求；具有国家、行业或企业认可的高级以上专业技术职务</w:t>
      </w:r>
      <w:r>
        <w:rPr>
          <w:rFonts w:hint="eastAsia" w:eastAsia="方正仿宋简体"/>
        </w:rPr>
        <w:t>或</w:t>
      </w:r>
      <w:r>
        <w:rPr>
          <w:rFonts w:eastAsia="方正仿宋简体"/>
        </w:rPr>
        <w:t>高级技师职业资格</w:t>
      </w:r>
      <w:r>
        <w:rPr>
          <w:rFonts w:hint="eastAsia" w:eastAsia="方正仿宋简体"/>
        </w:rPr>
        <w:t>；</w:t>
      </w:r>
      <w:r>
        <w:rPr>
          <w:rFonts w:eastAsia="方正仿宋简体"/>
        </w:rPr>
        <w:t>具有参与相关行业企业标准建设</w:t>
      </w:r>
      <w:r>
        <w:rPr>
          <w:rFonts w:hint="eastAsia" w:eastAsia="方正仿宋简体"/>
        </w:rPr>
        <w:t>和</w:t>
      </w:r>
      <w:r>
        <w:rPr>
          <w:rFonts w:eastAsia="方正仿宋简体"/>
        </w:rPr>
        <w:t>学校教学标准、课程标准、教材等建设的</w:t>
      </w:r>
      <w:r>
        <w:rPr>
          <w:rFonts w:hint="eastAsia" w:eastAsia="方正仿宋简体"/>
        </w:rPr>
        <w:t>经验。</w:t>
      </w:r>
    </w:p>
    <w:p>
      <w:pPr>
        <w:overflowPunct w:val="0"/>
        <w:outlineLvl w:val="1"/>
        <w:rPr>
          <w:rFonts w:eastAsia="楷体_GB2312"/>
        </w:rPr>
      </w:pPr>
      <w:bookmarkStart w:id="48" w:name="_Toc24781"/>
      <w:bookmarkStart w:id="49" w:name="_Toc31539"/>
      <w:r>
        <w:rPr>
          <w:rFonts w:eastAsia="楷体_GB2312"/>
        </w:rPr>
        <w:t>4.2 前期调研与资料收集</w:t>
      </w:r>
      <w:bookmarkEnd w:id="48"/>
      <w:bookmarkEnd w:id="49"/>
    </w:p>
    <w:p>
      <w:pPr>
        <w:overflowPunct w:val="0"/>
        <w:outlineLvl w:val="2"/>
        <w:rPr>
          <w:rFonts w:eastAsia="方正仿宋简体"/>
        </w:rPr>
      </w:pPr>
      <w:bookmarkStart w:id="50" w:name="_Toc26407"/>
      <w:bookmarkStart w:id="51" w:name="_Toc20211"/>
      <w:r>
        <w:rPr>
          <w:rFonts w:eastAsia="方正仿宋简体"/>
        </w:rPr>
        <w:t>4.2.1 调研内容</w:t>
      </w:r>
      <w:bookmarkEnd w:id="50"/>
      <w:bookmarkEnd w:id="51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深入分析产业、行业发展、人才培养现状与个体生涯发展对</w:t>
      </w:r>
      <w:r>
        <w:rPr>
          <w:rFonts w:hint="eastAsia" w:eastAsia="方正仿宋简体"/>
        </w:rPr>
        <w:t>该</w:t>
      </w:r>
      <w:r>
        <w:rPr>
          <w:rFonts w:eastAsia="方正仿宋简体"/>
        </w:rPr>
        <w:t>职业技能的需求，以及开发</w:t>
      </w:r>
      <w:r>
        <w:rPr>
          <w:rFonts w:hint="eastAsia" w:eastAsia="方正仿宋简体"/>
        </w:rPr>
        <w:t>有关职业技能等级</w:t>
      </w:r>
      <w:r>
        <w:rPr>
          <w:rFonts w:eastAsia="方正仿宋简体"/>
        </w:rPr>
        <w:t>标准的必要性和可行性，形成职业技能等级标准需求与开发必要性和可行性调研报告。内容可包括：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——适应产业、行业发展对高水平技术技能人才的需求，各职业岗位要求个体具备的特别突出的职业技能；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</w:t>
      </w:r>
      <w:r>
        <w:rPr>
          <w:rFonts w:hint="eastAsia" w:eastAsia="方正仿宋简体"/>
        </w:rPr>
        <w:t>工作任务涉及</w:t>
      </w:r>
      <w:r>
        <w:rPr>
          <w:rFonts w:eastAsia="方正仿宋简体"/>
        </w:rPr>
        <w:t>该职业技能的</w:t>
      </w:r>
      <w:r>
        <w:rPr>
          <w:rFonts w:hint="eastAsia" w:eastAsia="方正仿宋简体"/>
        </w:rPr>
        <w:t>职业</w:t>
      </w:r>
      <w:r>
        <w:rPr>
          <w:rFonts w:eastAsia="方正仿宋简体"/>
        </w:rPr>
        <w:t>岗位；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</w:t>
      </w:r>
      <w:r>
        <w:rPr>
          <w:rFonts w:hint="eastAsia" w:eastAsia="方正仿宋简体"/>
        </w:rPr>
        <w:t>教学内容涉及</w:t>
      </w:r>
      <w:r>
        <w:rPr>
          <w:rFonts w:eastAsia="方正仿宋简体"/>
        </w:rPr>
        <w:t>该职业技能的院校专业；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——社会、企业对该职业技能等级标准的需求情况；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——学校针对该职业技能的培养现状，其人才培养对拟开发的职业技能等级标准的需求情况；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</w:t>
      </w:r>
      <w:r>
        <w:rPr>
          <w:rFonts w:hint="eastAsia" w:eastAsia="方正仿宋简体"/>
        </w:rPr>
        <w:t>实施</w:t>
      </w:r>
      <w:r>
        <w:rPr>
          <w:rFonts w:eastAsia="方正仿宋简体"/>
        </w:rPr>
        <w:t>该职业技能等级标准</w:t>
      </w:r>
      <w:r>
        <w:rPr>
          <w:rFonts w:hint="eastAsia" w:eastAsia="方正仿宋简体"/>
        </w:rPr>
        <w:t>所需</w:t>
      </w:r>
      <w:r>
        <w:rPr>
          <w:rFonts w:eastAsia="方正仿宋简体"/>
        </w:rPr>
        <w:t>的条件，包括培训条件、考核条件等；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——开发职业技能等级标准的具体思路和做法。</w:t>
      </w:r>
    </w:p>
    <w:p>
      <w:pPr>
        <w:overflowPunct w:val="0"/>
        <w:outlineLvl w:val="2"/>
        <w:rPr>
          <w:rFonts w:eastAsia="方正仿宋简体"/>
        </w:rPr>
      </w:pPr>
      <w:bookmarkStart w:id="52" w:name="_Toc10260"/>
      <w:bookmarkStart w:id="53" w:name="_Toc10498"/>
      <w:r>
        <w:rPr>
          <w:rFonts w:eastAsia="方正仿宋简体"/>
        </w:rPr>
        <w:t>4.2.2 资料收集</w:t>
      </w:r>
      <w:bookmarkEnd w:id="52"/>
      <w:bookmarkEnd w:id="53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通过调研收集相关资料，形成初步预期，并为职业技能等级标准的最终形成提供多方面支撑。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——收集的资料应是</w:t>
      </w:r>
      <w:r>
        <w:rPr>
          <w:rFonts w:hint="eastAsia" w:eastAsia="方正仿宋简体"/>
        </w:rPr>
        <w:t>相关</w:t>
      </w:r>
      <w:r>
        <w:rPr>
          <w:rFonts w:eastAsia="方正仿宋简体"/>
        </w:rPr>
        <w:t>标准、规范、制度等的原始文本（不含原始文本的说明资料）。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——收集的</w:t>
      </w:r>
      <w:r>
        <w:rPr>
          <w:rFonts w:hint="eastAsia" w:eastAsia="方正仿宋简体"/>
        </w:rPr>
        <w:t>途径</w:t>
      </w:r>
      <w:r>
        <w:rPr>
          <w:rFonts w:eastAsia="方正仿宋简体"/>
        </w:rPr>
        <w:t>包括</w:t>
      </w:r>
      <w:r>
        <w:rPr>
          <w:rFonts w:hint="eastAsia" w:eastAsia="方正仿宋简体"/>
        </w:rPr>
        <w:t>相关</w:t>
      </w:r>
      <w:r>
        <w:rPr>
          <w:rFonts w:eastAsia="方正仿宋简体"/>
        </w:rPr>
        <w:t>标准文件收集、网络下载和行业、企业、学校资料收集等。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——收集的文本应有可用性，适用于职业技能等级标准开发、培训方案开发、考核方案开发等。</w:t>
      </w:r>
    </w:p>
    <w:p>
      <w:pPr>
        <w:overflowPunct w:val="0"/>
        <w:outlineLvl w:val="1"/>
        <w:rPr>
          <w:rFonts w:eastAsia="楷体_GB2312"/>
        </w:rPr>
      </w:pPr>
      <w:bookmarkStart w:id="54" w:name="_Toc27651"/>
      <w:bookmarkStart w:id="55" w:name="_Toc7716"/>
      <w:r>
        <w:rPr>
          <w:rFonts w:eastAsia="楷体_GB2312"/>
        </w:rPr>
        <w:t>4.3 确定职业技能领域和职业技能等级证书名称</w:t>
      </w:r>
      <w:bookmarkEnd w:id="54"/>
      <w:bookmarkEnd w:id="55"/>
    </w:p>
    <w:p>
      <w:pPr>
        <w:overflowPunct w:val="0"/>
        <w:outlineLvl w:val="2"/>
        <w:rPr>
          <w:rFonts w:eastAsia="方正仿宋简体"/>
        </w:rPr>
      </w:pPr>
      <w:bookmarkStart w:id="56" w:name="_Toc13151"/>
      <w:bookmarkStart w:id="57" w:name="_Toc31708"/>
      <w:r>
        <w:rPr>
          <w:rFonts w:eastAsia="方正仿宋简体"/>
        </w:rPr>
        <w:t>4.3.1 确定职业技能领域</w:t>
      </w:r>
      <w:bookmarkEnd w:id="56"/>
      <w:bookmarkEnd w:id="57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hint="eastAsia" w:eastAsia="方正仿宋简体"/>
        </w:rPr>
        <w:t>确定的职业技能领域应基于有关工作基础，进一步聚焦和反映产业、行业发展趋势和要求，主要</w:t>
      </w:r>
      <w:r>
        <w:rPr>
          <w:rFonts w:eastAsia="方正仿宋简体"/>
        </w:rPr>
        <w:t>包括：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——反映新技术、新工艺、新规范、新要求，知识与技能更新迭代快速的职业技能领域；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——需专门进行强化，达到一定专业水平的关键技能领域；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——职业教育与培训中尚未形成完整培养体系，社会急需的职业技能领域；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——针对职业岗位（群）或相近职业领域需进一步拓展的职业技能领域。</w:t>
      </w:r>
    </w:p>
    <w:p>
      <w:pPr>
        <w:overflowPunct w:val="0"/>
        <w:outlineLvl w:val="2"/>
        <w:rPr>
          <w:rFonts w:eastAsia="方正仿宋简体"/>
        </w:rPr>
      </w:pPr>
      <w:bookmarkStart w:id="58" w:name="_Toc9131"/>
      <w:bookmarkStart w:id="59" w:name="_Toc24669"/>
      <w:r>
        <w:rPr>
          <w:rFonts w:eastAsia="方正仿宋简体"/>
        </w:rPr>
        <w:t xml:space="preserve">4.3.2 </w:t>
      </w:r>
      <w:r>
        <w:rPr>
          <w:rFonts w:hint="eastAsia" w:eastAsia="方正仿宋简体"/>
        </w:rPr>
        <w:t>确定职业技能等级证书名称</w:t>
      </w:r>
      <w:bookmarkEnd w:id="58"/>
      <w:bookmarkEnd w:id="59"/>
      <w:r>
        <w:rPr>
          <w:rFonts w:eastAsia="方正仿宋简体"/>
        </w:rPr>
        <w:t xml:space="preserve"> 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hint="eastAsia" w:eastAsia="方正仿宋简体"/>
        </w:rPr>
        <w:t>职业技能等级证书是职业技能水平的凭证，是对学习者职业技能的综合评价，体现单一或多个职业岗位的技能要求。证书对接职业标准，按职业技能领域划分，具体名称要直观反映其核心技术技能，不宜按师、工、员等职业岗位命名，也不宜直接使用专业名称命名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职业技能等级证书名称统一采用“名词+动词”的形式，应</w:t>
      </w:r>
      <w:r>
        <w:rPr>
          <w:rFonts w:hint="eastAsia" w:eastAsia="方正仿宋简体"/>
        </w:rPr>
        <w:t>清晰反映证书持有者具备的职业技能或能胜任的职业活动，</w:t>
      </w:r>
      <w:r>
        <w:rPr>
          <w:rFonts w:eastAsia="方正仿宋简体"/>
        </w:rPr>
        <w:t>如“Web前端开发”职业技能等级证书、“农产品质量安全检测”职业技能等级证书。</w:t>
      </w:r>
    </w:p>
    <w:p>
      <w:pPr>
        <w:overflowPunct w:val="0"/>
        <w:outlineLvl w:val="1"/>
        <w:rPr>
          <w:rFonts w:eastAsia="楷体_GB2312"/>
        </w:rPr>
      </w:pPr>
      <w:bookmarkStart w:id="60" w:name="_Toc29597"/>
      <w:bookmarkStart w:id="61" w:name="_Toc10058"/>
      <w:r>
        <w:rPr>
          <w:rFonts w:eastAsia="楷体_GB2312"/>
        </w:rPr>
        <w:t>4.4 确定职业技能等级证书范围</w:t>
      </w:r>
      <w:bookmarkEnd w:id="60"/>
      <w:bookmarkEnd w:id="61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应清晰界定职业技能等级证书的范围，聚焦完成某</w:t>
      </w:r>
      <w:r>
        <w:rPr>
          <w:rFonts w:hint="eastAsia" w:eastAsia="方正仿宋简体"/>
        </w:rPr>
        <w:t>个职业岗位或职业</w:t>
      </w:r>
      <w:r>
        <w:rPr>
          <w:rFonts w:eastAsia="方正仿宋简体"/>
        </w:rPr>
        <w:t>岗位群关键工作领域的典型工作任务所需要的职业技能，不宜过于宽泛。职业技能等级证书</w:t>
      </w:r>
      <w:r>
        <w:rPr>
          <w:rFonts w:hint="eastAsia" w:eastAsia="方正仿宋简体"/>
        </w:rPr>
        <w:t>的每一级别</w:t>
      </w:r>
      <w:r>
        <w:rPr>
          <w:rFonts w:eastAsia="方正仿宋简体"/>
        </w:rPr>
        <w:t>学习培训内容，原则上以不超过8学分为宜，其中30%</w:t>
      </w:r>
      <w:r>
        <w:rPr>
          <w:rFonts w:hint="eastAsia" w:eastAsia="方正仿宋简体"/>
        </w:rPr>
        <w:t xml:space="preserve"> </w:t>
      </w:r>
      <w:r>
        <w:rPr>
          <w:rFonts w:eastAsia="方正仿宋简体"/>
        </w:rPr>
        <w:t>左右的学习培训内容具有一定柔性，以适应区域产业发展</w:t>
      </w:r>
      <w:r>
        <w:rPr>
          <w:rFonts w:hint="eastAsia" w:eastAsia="方正仿宋简体"/>
        </w:rPr>
        <w:t>或行业</w:t>
      </w:r>
      <w:r>
        <w:rPr>
          <w:rFonts w:eastAsia="方正仿宋简体"/>
        </w:rPr>
        <w:t>对职业技能的差异化要求。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应明确适用的院校专业</w:t>
      </w:r>
      <w:r>
        <w:rPr>
          <w:rFonts w:hint="eastAsia" w:eastAsia="方正仿宋简体"/>
        </w:rPr>
        <w:t>，</w:t>
      </w:r>
      <w:r>
        <w:rPr>
          <w:rFonts w:eastAsia="方正仿宋简体"/>
        </w:rPr>
        <w:t>专业名称</w:t>
      </w:r>
      <w:r>
        <w:rPr>
          <w:rFonts w:hint="eastAsia" w:eastAsia="方正仿宋简体"/>
        </w:rPr>
        <w:t>尽可能</w:t>
      </w:r>
      <w:r>
        <w:rPr>
          <w:rFonts w:eastAsia="方正仿宋简体"/>
        </w:rPr>
        <w:t>与中等职业学校、普通高等学校高等职业教育（专科</w:t>
      </w:r>
      <w:r>
        <w:rPr>
          <w:rFonts w:hint="eastAsia" w:eastAsia="方正仿宋简体"/>
        </w:rPr>
        <w:t>、本科试点</w:t>
      </w:r>
      <w:r>
        <w:rPr>
          <w:rFonts w:eastAsia="方正仿宋简体"/>
        </w:rPr>
        <w:t>）和普通高等学校本科专业目录相对应，明确面向的职业岗位（群）或主要工作领域</w:t>
      </w:r>
      <w:r>
        <w:rPr>
          <w:rFonts w:hint="eastAsia" w:eastAsia="方正仿宋简体"/>
        </w:rPr>
        <w:t>。</w:t>
      </w:r>
    </w:p>
    <w:p>
      <w:pPr>
        <w:overflowPunct w:val="0"/>
        <w:outlineLvl w:val="1"/>
        <w:rPr>
          <w:rFonts w:eastAsia="楷体_GB2312"/>
        </w:rPr>
      </w:pPr>
      <w:bookmarkStart w:id="62" w:name="_Toc12665"/>
      <w:bookmarkStart w:id="63" w:name="_Toc16609"/>
      <w:r>
        <w:rPr>
          <w:rFonts w:eastAsia="楷体_GB2312"/>
        </w:rPr>
        <w:t>4.</w:t>
      </w:r>
      <w:r>
        <w:rPr>
          <w:rFonts w:hint="eastAsia" w:eastAsia="楷体_GB2312"/>
        </w:rPr>
        <w:t>5 划分职业技能等级</w:t>
      </w:r>
      <w:bookmarkEnd w:id="62"/>
      <w:bookmarkEnd w:id="63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职业技能等级分为初级、中级、高级三个等级，一般应依次递进，高级别涵盖低级别职业技能要求。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等级划分依据应明确、清晰，易于理解和操作。应与学历教育层次相衔接，与</w:t>
      </w:r>
      <w:r>
        <w:rPr>
          <w:rFonts w:hint="eastAsia" w:eastAsia="方正仿宋简体"/>
        </w:rPr>
        <w:t>职业</w:t>
      </w:r>
      <w:r>
        <w:rPr>
          <w:rFonts w:eastAsia="方正仿宋简体"/>
        </w:rPr>
        <w:t>岗位层级相对应，与技术复杂程度和技能熟练程度相适应。</w:t>
      </w:r>
    </w:p>
    <w:p>
      <w:pPr>
        <w:overflowPunct w:val="0"/>
        <w:outlineLvl w:val="0"/>
        <w:rPr>
          <w:rFonts w:eastAsia="黑体"/>
        </w:rPr>
      </w:pPr>
      <w:bookmarkStart w:id="64" w:name="_Toc32357"/>
      <w:bookmarkStart w:id="65" w:name="_Toc13356"/>
      <w:bookmarkStart w:id="66" w:name="_Toc311"/>
      <w:bookmarkStart w:id="67" w:name="_Toc763"/>
      <w:r>
        <w:rPr>
          <w:rFonts w:eastAsia="黑体"/>
        </w:rPr>
        <w:t>5 开发职业技能等级标准</w:t>
      </w:r>
      <w:bookmarkEnd w:id="64"/>
      <w:bookmarkEnd w:id="65"/>
      <w:bookmarkEnd w:id="66"/>
      <w:bookmarkEnd w:id="67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hint="eastAsia" w:eastAsia="方正仿宋简体"/>
        </w:rPr>
        <w:t>职业技能等级标准内容要与证书名称相符。职业技能应体现工作任务的内容，其开发要以职业及工作任务分析为前提，避免传统的学科知识分析</w:t>
      </w:r>
      <w:r>
        <w:rPr>
          <w:rFonts w:eastAsia="方正仿宋简体"/>
        </w:rPr>
        <w:t>。需进行三级分析，第一级分析工作领域，第二级分析工作任务，第三级分析职业技能要求。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hint="eastAsia" w:eastAsia="方正仿宋简体"/>
        </w:rPr>
        <w:t>职业技能等级标准是对学校教育的有益补充、深化或拓展，帮助进一步对接企业一线。职业技能等级标准要与相关专业教学标准衔接，统筹考虑与专业教学标准的共性与差异性。相关专业教学标准可通过教育部网站职业教育与成人教育司页面“职业教育国家教学标准体系”专栏查询（网址</w:t>
      </w:r>
      <w:r>
        <w:rPr>
          <w:rFonts w:eastAsia="方正仿宋简体"/>
        </w:rPr>
        <w:t>http://www.moe.gov.cn/s78/A07/zcs_ztzl/2017_zt06/</w:t>
      </w:r>
      <w:r>
        <w:rPr>
          <w:rFonts w:hint="eastAsia" w:eastAsia="方正仿宋简体"/>
        </w:rPr>
        <w:t>）。</w:t>
      </w:r>
    </w:p>
    <w:p>
      <w:pPr>
        <w:overflowPunct w:val="0"/>
        <w:outlineLvl w:val="1"/>
        <w:rPr>
          <w:rFonts w:eastAsia="楷体_GB2312"/>
        </w:rPr>
      </w:pPr>
      <w:bookmarkStart w:id="68" w:name="_Toc32463"/>
      <w:bookmarkStart w:id="69" w:name="_Toc16936"/>
      <w:r>
        <w:rPr>
          <w:rFonts w:eastAsia="楷体_GB2312"/>
        </w:rPr>
        <w:t>5.1 分析工作领域</w:t>
      </w:r>
      <w:bookmarkEnd w:id="68"/>
      <w:bookmarkEnd w:id="69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将某个职业岗位或职业岗位</w:t>
      </w:r>
      <w:r>
        <w:rPr>
          <w:rFonts w:hint="eastAsia" w:eastAsia="方正仿宋简体"/>
        </w:rPr>
        <w:t>（</w:t>
      </w:r>
      <w:r>
        <w:rPr>
          <w:rFonts w:eastAsia="方正仿宋简体"/>
        </w:rPr>
        <w:t>群</w:t>
      </w:r>
      <w:r>
        <w:rPr>
          <w:rFonts w:hint="eastAsia" w:eastAsia="方正仿宋简体"/>
        </w:rPr>
        <w:t>）</w:t>
      </w:r>
      <w:r>
        <w:rPr>
          <w:rFonts w:eastAsia="方正仿宋简体"/>
        </w:rPr>
        <w:t>所涉及的职业活动，按工作性质和要求等分解成若干个工作领域。每个等级的工作领域一般应不少于3个。表述采取“名词+动词”的短语形式，如“静态网站搭建”“照护计划制定”等。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通常采用的动词有: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——基本操作类。如：操作、采集、配置、标定、使用、挑选、估算、计算等。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——调试维护类。如：连接、调整、调试、维护、安装等。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——资料处理类。如：阅读、摘录、</w:t>
      </w:r>
      <w:r>
        <w:rPr>
          <w:rFonts w:hint="eastAsia" w:eastAsia="方正仿宋简体"/>
        </w:rPr>
        <w:t>查找</w:t>
      </w:r>
      <w:r>
        <w:rPr>
          <w:rFonts w:eastAsia="方正仿宋简体"/>
        </w:rPr>
        <w:t>、编制、分析等。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——问题解决类。如：设计、诊断、排除、选择、布置等。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——管理组织类。如：计划、组织、管理、指导、协调、监控等。</w:t>
      </w:r>
    </w:p>
    <w:p>
      <w:pPr>
        <w:overflowPunct w:val="0"/>
        <w:outlineLvl w:val="1"/>
        <w:rPr>
          <w:rFonts w:eastAsia="楷体_GB2312"/>
        </w:rPr>
      </w:pPr>
      <w:bookmarkStart w:id="70" w:name="_Toc22657"/>
      <w:bookmarkStart w:id="71" w:name="_Toc10913"/>
      <w:r>
        <w:rPr>
          <w:rFonts w:eastAsia="楷体_GB2312"/>
        </w:rPr>
        <w:t>5.2 分析工作任务</w:t>
      </w:r>
      <w:bookmarkEnd w:id="70"/>
      <w:bookmarkEnd w:id="71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按工作性质与要求，将每个工作领域分解成若干个相对独立且具有典型性的单项任务。每个工作领域的工作任务一般应不少于3项。表述采取“名词+动词”的短语形式，如“动态网页开发”“库存成本分析”等。</w:t>
      </w:r>
    </w:p>
    <w:p>
      <w:pPr>
        <w:overflowPunct w:val="0"/>
        <w:outlineLvl w:val="1"/>
        <w:rPr>
          <w:rFonts w:eastAsia="楷体_GB2312"/>
        </w:rPr>
      </w:pPr>
      <w:bookmarkStart w:id="72" w:name="_Toc18728"/>
      <w:bookmarkStart w:id="73" w:name="_Toc7143"/>
      <w:r>
        <w:rPr>
          <w:rFonts w:eastAsia="楷体_GB2312"/>
        </w:rPr>
        <w:t>5.3 分析职业技能要求</w:t>
      </w:r>
      <w:bookmarkEnd w:id="72"/>
      <w:bookmarkEnd w:id="73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分析完成每项工作任务应具</w:t>
      </w:r>
      <w:r>
        <w:rPr>
          <w:rFonts w:hint="eastAsia" w:eastAsia="方正仿宋简体"/>
        </w:rPr>
        <w:t>备</w:t>
      </w:r>
      <w:r>
        <w:rPr>
          <w:rFonts w:eastAsia="方正仿宋简体"/>
        </w:rPr>
        <w:t>的职业技能要求。职业技能要求是完成工作任务所需职业素养、</w:t>
      </w:r>
      <w:r>
        <w:rPr>
          <w:rFonts w:hint="eastAsia" w:eastAsia="方正仿宋简体"/>
        </w:rPr>
        <w:t>专业</w:t>
      </w:r>
      <w:r>
        <w:rPr>
          <w:rFonts w:eastAsia="方正仿宋简体"/>
        </w:rPr>
        <w:t>知识和</w:t>
      </w:r>
      <w:r>
        <w:rPr>
          <w:rFonts w:hint="eastAsia" w:eastAsia="方正仿宋简体"/>
        </w:rPr>
        <w:t>技术</w:t>
      </w:r>
      <w:r>
        <w:rPr>
          <w:rFonts w:eastAsia="方正仿宋简体"/>
        </w:rPr>
        <w:t>技能的综合体现，每项工作任务的职业技能要求一般以4-6条为宜。职业技能要求一般可从“行为、条件、标准、结果”四个</w:t>
      </w:r>
      <w:r>
        <w:rPr>
          <w:rFonts w:hint="eastAsia" w:eastAsia="方正仿宋简体"/>
        </w:rPr>
        <w:t>要素</w:t>
      </w:r>
      <w:r>
        <w:rPr>
          <w:rFonts w:eastAsia="方正仿宋简体"/>
        </w:rPr>
        <w:t>进行描述，内容描述不能太笼统、太抽象，如“……表达能力”“……沟通能力”等。</w:t>
      </w:r>
    </w:p>
    <w:p>
      <w:pPr>
        <w:overflowPunct w:val="0"/>
        <w:outlineLvl w:val="2"/>
        <w:rPr>
          <w:rFonts w:eastAsia="方正仿宋简体"/>
        </w:rPr>
      </w:pPr>
      <w:bookmarkStart w:id="74" w:name="_Toc12784"/>
      <w:bookmarkStart w:id="75" w:name="_Toc24172"/>
      <w:r>
        <w:rPr>
          <w:rFonts w:eastAsia="方正仿宋简体"/>
        </w:rPr>
        <w:t>5.3.1 行为</w:t>
      </w:r>
      <w:bookmarkEnd w:id="74"/>
      <w:bookmarkEnd w:id="75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完成某一</w:t>
      </w:r>
      <w:r>
        <w:rPr>
          <w:rFonts w:hint="eastAsia" w:eastAsia="方正仿宋简体"/>
        </w:rPr>
        <w:t>工作任务</w:t>
      </w:r>
      <w:r>
        <w:rPr>
          <w:rFonts w:eastAsia="方正仿宋简体"/>
        </w:rPr>
        <w:t>。如“能制作……”“能生产……”。</w:t>
      </w:r>
    </w:p>
    <w:p>
      <w:pPr>
        <w:overflowPunct w:val="0"/>
        <w:outlineLvl w:val="2"/>
        <w:rPr>
          <w:rFonts w:eastAsia="方正仿宋简体"/>
        </w:rPr>
      </w:pPr>
      <w:bookmarkStart w:id="76" w:name="_Toc13431"/>
      <w:bookmarkStart w:id="77" w:name="_Toc1961"/>
      <w:r>
        <w:rPr>
          <w:rFonts w:eastAsia="方正仿宋简体"/>
        </w:rPr>
        <w:t>5.3.2 条件</w:t>
      </w:r>
      <w:bookmarkEnd w:id="76"/>
      <w:bookmarkEnd w:id="77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完成某一</w:t>
      </w:r>
      <w:r>
        <w:rPr>
          <w:rFonts w:hint="eastAsia" w:eastAsia="方正仿宋简体"/>
        </w:rPr>
        <w:t>工作任务</w:t>
      </w:r>
      <w:r>
        <w:rPr>
          <w:rFonts w:eastAsia="方正仿宋简体"/>
        </w:rPr>
        <w:t>应具备的条件。如资料、设备和工具及其使用方法等，包括允许使用和不允许使用的。</w:t>
      </w:r>
    </w:p>
    <w:p>
      <w:pPr>
        <w:overflowPunct w:val="0"/>
        <w:outlineLvl w:val="2"/>
        <w:rPr>
          <w:rFonts w:eastAsia="方正仿宋简体"/>
        </w:rPr>
      </w:pPr>
      <w:bookmarkStart w:id="78" w:name="_Toc6258"/>
      <w:bookmarkStart w:id="79" w:name="_Toc13513"/>
      <w:r>
        <w:rPr>
          <w:rFonts w:eastAsia="方正仿宋简体"/>
        </w:rPr>
        <w:t>5.3.3 标准</w:t>
      </w:r>
      <w:bookmarkEnd w:id="78"/>
      <w:bookmarkEnd w:id="79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hint="eastAsia" w:eastAsia="方正仿宋简体"/>
        </w:rPr>
        <w:t>完成某一工作任务</w:t>
      </w:r>
      <w:r>
        <w:rPr>
          <w:rFonts w:eastAsia="方正仿宋简体"/>
        </w:rPr>
        <w:t>的质量和等级</w:t>
      </w:r>
      <w:r>
        <w:rPr>
          <w:rFonts w:hint="eastAsia" w:eastAsia="方正仿宋简体"/>
        </w:rPr>
        <w:t>等要求</w:t>
      </w:r>
      <w:r>
        <w:rPr>
          <w:rFonts w:eastAsia="方正仿宋简体"/>
        </w:rPr>
        <w:t>，</w:t>
      </w:r>
      <w:r>
        <w:rPr>
          <w:rFonts w:hint="eastAsia" w:eastAsia="方正仿宋简体"/>
        </w:rPr>
        <w:t>如完成工作任务的</w:t>
      </w:r>
      <w:r>
        <w:rPr>
          <w:rFonts w:eastAsia="方正仿宋简体"/>
        </w:rPr>
        <w:t>速度、准确性、质量、经济性和环保性等。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——速度：如果完成某项工作任务要求的时间很重要，应确立时间因素；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——准确性：如果有必要，应提出准确性及其等级要求，包括质的和量的，如“正确操作……”或“至少××%正确率”；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——质量：如果产品质量很重要，应提出质量要求，如“按技术操作要求，误差不超过××mm”；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——经济性：如果有必要，应提出经济性要求，如生产成本控制率、投入产出比等；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——环保性：如果有必要，应提出环保性要求，如产品和生产过程的节能率等。</w:t>
      </w:r>
    </w:p>
    <w:p>
      <w:pPr>
        <w:overflowPunct w:val="0"/>
        <w:outlineLvl w:val="2"/>
        <w:rPr>
          <w:rFonts w:eastAsia="方正仿宋简体"/>
        </w:rPr>
      </w:pPr>
      <w:bookmarkStart w:id="80" w:name="_Toc15742"/>
      <w:bookmarkStart w:id="81" w:name="_Toc18193"/>
      <w:r>
        <w:rPr>
          <w:rFonts w:eastAsia="方正仿宋简体"/>
        </w:rPr>
        <w:t>5.3.4 结果</w:t>
      </w:r>
      <w:bookmarkEnd w:id="80"/>
      <w:bookmarkEnd w:id="81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行为的结果，即完成的某一</w:t>
      </w:r>
      <w:r>
        <w:rPr>
          <w:rFonts w:hint="eastAsia" w:eastAsia="方正仿宋简体"/>
        </w:rPr>
        <w:t>工作任务</w:t>
      </w:r>
      <w:r>
        <w:rPr>
          <w:rFonts w:eastAsia="方正仿宋简体"/>
        </w:rPr>
        <w:t>。如“制作了……”“生产了……”。</w:t>
      </w:r>
    </w:p>
    <w:p>
      <w:pPr>
        <w:overflowPunct w:val="0"/>
        <w:outlineLvl w:val="0"/>
        <w:rPr>
          <w:rFonts w:eastAsia="黑体"/>
        </w:rPr>
      </w:pPr>
      <w:bookmarkStart w:id="82" w:name="_Toc25186"/>
      <w:bookmarkStart w:id="83" w:name="_Toc18092"/>
      <w:bookmarkStart w:id="84" w:name="_Toc24660"/>
      <w:bookmarkStart w:id="85" w:name="_Toc3398"/>
      <w:r>
        <w:rPr>
          <w:rFonts w:eastAsia="黑体"/>
        </w:rPr>
        <w:t>6  职业技能等级标准编排格式</w:t>
      </w:r>
      <w:bookmarkEnd w:id="82"/>
      <w:bookmarkEnd w:id="83"/>
      <w:bookmarkEnd w:id="84"/>
      <w:bookmarkEnd w:id="85"/>
    </w:p>
    <w:p>
      <w:pPr>
        <w:overflowPunct w:val="0"/>
        <w:outlineLvl w:val="1"/>
        <w:rPr>
          <w:rFonts w:eastAsia="楷体_GB2312"/>
        </w:rPr>
      </w:pPr>
      <w:bookmarkStart w:id="86" w:name="_Toc29459"/>
      <w:bookmarkStart w:id="87" w:name="_Toc23095"/>
      <w:r>
        <w:rPr>
          <w:rFonts w:eastAsia="楷体_GB2312"/>
        </w:rPr>
        <w:t>6.1 文本结构</w:t>
      </w:r>
      <w:bookmarkEnd w:id="86"/>
      <w:bookmarkEnd w:id="87"/>
    </w:p>
    <w:p>
      <w:pPr>
        <w:overflowPunct w:val="0"/>
        <w:outlineLvl w:val="2"/>
        <w:rPr>
          <w:rFonts w:eastAsia="方正仿宋简体"/>
        </w:rPr>
      </w:pPr>
      <w:bookmarkStart w:id="88" w:name="_Toc30084"/>
      <w:bookmarkStart w:id="89" w:name="_Toc1908"/>
      <w:r>
        <w:rPr>
          <w:rFonts w:eastAsia="方正仿宋简体"/>
        </w:rPr>
        <w:t>6.1.1 封面</w:t>
      </w:r>
      <w:bookmarkEnd w:id="88"/>
      <w:bookmarkEnd w:id="89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封面应列出职业技能等级标准的信息，包括：职业技能等级标准名称、版本、制定单位、发布时间。</w:t>
      </w:r>
    </w:p>
    <w:p>
      <w:pPr>
        <w:overflowPunct w:val="0"/>
        <w:outlineLvl w:val="2"/>
        <w:rPr>
          <w:rFonts w:eastAsia="方正仿宋简体"/>
        </w:rPr>
      </w:pPr>
      <w:bookmarkStart w:id="90" w:name="_Toc11089"/>
      <w:bookmarkStart w:id="91" w:name="_Toc30931"/>
      <w:r>
        <w:rPr>
          <w:rFonts w:eastAsia="方正仿宋简体"/>
        </w:rPr>
        <w:t>6.1.2 目次</w:t>
      </w:r>
      <w:bookmarkEnd w:id="90"/>
      <w:bookmarkEnd w:id="91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目次应列出职业技能等级标准内容章节的篇目次序。</w:t>
      </w:r>
    </w:p>
    <w:p>
      <w:pPr>
        <w:overflowPunct w:val="0"/>
        <w:outlineLvl w:val="2"/>
        <w:rPr>
          <w:rFonts w:eastAsia="方正仿宋简体"/>
        </w:rPr>
      </w:pPr>
      <w:bookmarkStart w:id="92" w:name="_Toc21362"/>
      <w:bookmarkStart w:id="93" w:name="_Toc24301"/>
      <w:r>
        <w:rPr>
          <w:rFonts w:eastAsia="方正仿宋简体"/>
        </w:rPr>
        <w:t>6.1.3 前言</w:t>
      </w:r>
      <w:bookmarkEnd w:id="92"/>
      <w:bookmarkEnd w:id="93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前言应依次列出以下内容：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——本标准起草依据的规则；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——本标准起草单位；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——本标准主要起草人；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——本标准的知识产权声明。</w:t>
      </w:r>
    </w:p>
    <w:p>
      <w:pPr>
        <w:overflowPunct w:val="0"/>
        <w:outlineLvl w:val="2"/>
        <w:rPr>
          <w:rFonts w:eastAsia="方正仿宋简体"/>
        </w:rPr>
      </w:pPr>
      <w:bookmarkStart w:id="94" w:name="_Toc7320"/>
      <w:bookmarkStart w:id="95" w:name="_Toc27837"/>
      <w:r>
        <w:rPr>
          <w:rFonts w:eastAsia="方正仿宋简体"/>
        </w:rPr>
        <w:t>6.1.4 内容</w:t>
      </w:r>
      <w:bookmarkEnd w:id="94"/>
      <w:bookmarkEnd w:id="95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职业技能等级标准主要内容包括：范围、规范性引用文件、术语和定义、</w:t>
      </w:r>
      <w:r>
        <w:rPr>
          <w:rFonts w:hint="eastAsia" w:eastAsia="方正仿宋简体"/>
        </w:rPr>
        <w:t>适用</w:t>
      </w:r>
      <w:r>
        <w:rPr>
          <w:rFonts w:eastAsia="方正仿宋简体"/>
        </w:rPr>
        <w:t>院校专业、面向</w:t>
      </w:r>
      <w:r>
        <w:rPr>
          <w:rFonts w:hint="eastAsia" w:eastAsia="方正仿宋简体"/>
        </w:rPr>
        <w:t>职业</w:t>
      </w:r>
      <w:r>
        <w:rPr>
          <w:rFonts w:eastAsia="方正仿宋简体"/>
        </w:rPr>
        <w:t>岗位（群）、职业技能要求等六个部分。</w:t>
      </w:r>
    </w:p>
    <w:p>
      <w:pPr>
        <w:overflowPunct w:val="0"/>
        <w:outlineLvl w:val="2"/>
        <w:rPr>
          <w:rFonts w:eastAsia="方正仿宋简体"/>
        </w:rPr>
      </w:pPr>
      <w:bookmarkStart w:id="96" w:name="_Toc4710"/>
      <w:bookmarkStart w:id="97" w:name="_Toc18039"/>
      <w:r>
        <w:rPr>
          <w:rFonts w:eastAsia="方正仿宋简体"/>
        </w:rPr>
        <w:t>6.1.5 参考文献</w:t>
      </w:r>
      <w:bookmarkEnd w:id="96"/>
      <w:bookmarkEnd w:id="97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参考文献应列出本标准起草过程中参考过的文献，如国家、行业有关法律法规、标准及技术规范等。</w:t>
      </w:r>
    </w:p>
    <w:p>
      <w:pPr>
        <w:overflowPunct w:val="0"/>
        <w:outlineLvl w:val="1"/>
        <w:rPr>
          <w:rFonts w:eastAsia="楷体_GB2312"/>
        </w:rPr>
      </w:pPr>
      <w:bookmarkStart w:id="98" w:name="_Toc17872"/>
      <w:bookmarkStart w:id="99" w:name="_Toc6931"/>
      <w:r>
        <w:rPr>
          <w:rFonts w:eastAsia="楷体_GB2312"/>
        </w:rPr>
        <w:t xml:space="preserve">6.2 </w:t>
      </w:r>
      <w:r>
        <w:rPr>
          <w:rFonts w:hint="eastAsia" w:eastAsia="楷体_GB2312"/>
        </w:rPr>
        <w:t>出版格式</w:t>
      </w:r>
      <w:bookmarkEnd w:id="98"/>
      <w:bookmarkEnd w:id="99"/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职业技能等级标准采用统一编排格式，并统一字体和字号。</w:t>
      </w:r>
    </w:p>
    <w:p>
      <w:pPr>
        <w:overflowPunct w:val="0"/>
        <w:ind w:firstLine="640" w:firstLineChars="200"/>
        <w:rPr>
          <w:rFonts w:eastAsia="方正仿宋简体"/>
        </w:rPr>
      </w:pPr>
      <w:r>
        <w:rPr>
          <w:rFonts w:eastAsia="方正仿宋简体"/>
        </w:rPr>
        <w:t>职业技能等级标准的出版格式，参照GB/T1.1-2020《标准化工作导则 第1部分：标准化文件的结构和起草规则》的相关要求。</w:t>
      </w:r>
    </w:p>
    <w:p>
      <w:pPr>
        <w:overflowPunct w:val="0"/>
        <w:ind w:firstLine="640" w:firstLineChars="200"/>
        <w:rPr>
          <w:rFonts w:eastAsia="方正仿宋简体"/>
        </w:rPr>
      </w:pPr>
    </w:p>
    <w:p>
      <w:pPr>
        <w:overflowPunct w:val="0"/>
        <w:ind w:firstLine="640" w:firstLineChars="200"/>
        <w:rPr>
          <w:rFonts w:eastAsia="方正仿宋简体"/>
        </w:rPr>
      </w:pPr>
    </w:p>
    <w:p>
      <w:pPr>
        <w:widowControl/>
        <w:jc w:val="left"/>
        <w:rPr>
          <w:rFonts w:eastAsia="方正仿宋简体"/>
        </w:rPr>
      </w:pPr>
      <w:r>
        <w:rPr>
          <w:rFonts w:eastAsia="方正仿宋简体"/>
        </w:rPr>
        <w:br w:type="page"/>
      </w:r>
    </w:p>
    <w:p>
      <w:pPr>
        <w:overflowPunct w:val="0"/>
        <w:ind w:firstLine="640" w:firstLineChars="200"/>
        <w:rPr>
          <w:rFonts w:eastAsia="方正仿宋简体"/>
        </w:rPr>
      </w:pPr>
    </w:p>
    <w:p>
      <w:pPr>
        <w:pStyle w:val="3"/>
        <w:spacing w:line="240" w:lineRule="auto"/>
        <w:ind w:firstLine="0" w:firstLineChars="0"/>
        <w:rPr>
          <w:rFonts w:ascii="黑体" w:hAnsi="黑体" w:eastAsia="黑体"/>
          <w:b w:val="0"/>
          <w:bCs/>
          <w:sz w:val="32"/>
          <w:szCs w:val="32"/>
        </w:rPr>
      </w:pPr>
      <w:bookmarkStart w:id="100" w:name="_Toc10720314"/>
      <w:bookmarkStart w:id="101" w:name="_Toc18770"/>
      <w:bookmarkStart w:id="102" w:name="_Toc16392"/>
      <w:bookmarkStart w:id="103" w:name="_Toc10449377"/>
      <w:r>
        <w:rPr>
          <w:rFonts w:hint="eastAsia" w:ascii="黑体" w:hAnsi="黑体" w:eastAsia="黑体"/>
          <w:b w:val="0"/>
          <w:bCs/>
          <w:sz w:val="32"/>
          <w:szCs w:val="32"/>
        </w:rPr>
        <w:t>附录</w:t>
      </w:r>
      <w:bookmarkEnd w:id="100"/>
      <w:bookmarkEnd w:id="101"/>
      <w:bookmarkEnd w:id="102"/>
      <w:bookmarkEnd w:id="103"/>
    </w:p>
    <w:p>
      <w:pPr>
        <w:overflowPunct w:val="0"/>
        <w:jc w:val="center"/>
        <w:outlineLvl w:val="0"/>
        <w:rPr>
          <w:rFonts w:eastAsia="方正小标宋简体"/>
          <w:sz w:val="44"/>
          <w:szCs w:val="44"/>
        </w:rPr>
      </w:pPr>
      <w:bookmarkStart w:id="104" w:name="_Toc23676"/>
      <w:bookmarkStart w:id="105" w:name="_Toc6560"/>
      <w:bookmarkStart w:id="106" w:name="_Toc1218"/>
      <w:bookmarkStart w:id="107" w:name="_Toc10449821"/>
      <w:bookmarkStart w:id="108" w:name="_Toc10449956"/>
      <w:bookmarkStart w:id="109" w:name="_Toc29948"/>
      <w:bookmarkStart w:id="110" w:name="_Toc10720315"/>
      <w:r>
        <w:rPr>
          <w:rFonts w:hint="eastAsia" w:eastAsia="方正小标宋简体"/>
          <w:sz w:val="44"/>
          <w:szCs w:val="44"/>
        </w:rPr>
        <w:t>职业技能等级标准编排格式</w:t>
      </w:r>
      <w:bookmarkEnd w:id="104"/>
      <w:bookmarkEnd w:id="105"/>
      <w:bookmarkEnd w:id="106"/>
      <w:bookmarkEnd w:id="107"/>
      <w:bookmarkEnd w:id="108"/>
      <w:bookmarkEnd w:id="109"/>
      <w:bookmarkEnd w:id="110"/>
    </w:p>
    <w:p>
      <w:pPr>
        <w:pStyle w:val="14"/>
        <w:spacing w:line="360" w:lineRule="auto"/>
        <w:ind w:firstLine="1040"/>
        <w:jc w:val="center"/>
        <w:rPr>
          <w:rFonts w:ascii="黑体" w:hAnsi="黑体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191770</wp:posOffset>
                </wp:positionH>
                <wp:positionV relativeFrom="paragraph">
                  <wp:posOffset>92710</wp:posOffset>
                </wp:positionV>
                <wp:extent cx="5225415" cy="6496050"/>
                <wp:effectExtent l="4445" t="4445" r="8890" b="1460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5415" cy="649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pStyle w:val="14"/>
                              <w:spacing w:line="360" w:lineRule="auto"/>
                              <w:ind w:firstLine="0" w:firstLineChars="0"/>
                              <w:jc w:val="center"/>
                              <w:rPr>
                                <w:rFonts w:ascii="黑体" w:hAnsi="黑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黑体" w:hAnsi="黑体"/>
                                <w:sz w:val="52"/>
                                <w:szCs w:val="52"/>
                              </w:rPr>
                              <w:t>X</w:t>
                            </w:r>
                            <w:r>
                              <w:rPr>
                                <w:rFonts w:ascii="黑体" w:hAnsi="黑体"/>
                                <w:sz w:val="52"/>
                                <w:szCs w:val="52"/>
                              </w:rPr>
                              <w:t>XXXXX</w:t>
                            </w:r>
                          </w:p>
                          <w:p>
                            <w:pPr>
                              <w:pStyle w:val="14"/>
                              <w:spacing w:line="360" w:lineRule="auto"/>
                              <w:ind w:firstLine="0" w:firstLineChars="0"/>
                              <w:jc w:val="center"/>
                              <w:rPr>
                                <w:rFonts w:ascii="黑体" w:hAnsi="黑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52"/>
                                <w:szCs w:val="52"/>
                              </w:rPr>
                              <w:t>职业技能等级标准</w:t>
                            </w:r>
                          </w:p>
                          <w:p>
                            <w:pPr>
                              <w:pStyle w:val="14"/>
                              <w:spacing w:line="360" w:lineRule="auto"/>
                              <w:ind w:firstLine="0" w:firstLineChars="0"/>
                              <w:jc w:val="center"/>
                              <w:rPr>
                                <w:rFonts w:ascii="楷体" w:hAnsi="楷体" w:eastAsia="楷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32"/>
                                <w:szCs w:val="32"/>
                              </w:rPr>
                              <w:t>（2</w:t>
                            </w:r>
                            <w:r>
                              <w:rPr>
                                <w:rFonts w:ascii="楷体" w:hAnsi="楷体" w:eastAsia="楷体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hint="eastAsia" w:ascii="楷体" w:hAnsi="楷体" w:eastAsia="楷体"/>
                                <w:sz w:val="32"/>
                                <w:szCs w:val="32"/>
                              </w:rPr>
                              <w:t>××年×.</w:t>
                            </w:r>
                            <w:r>
                              <w:rPr>
                                <w:rFonts w:ascii="楷体" w:hAnsi="楷体" w:eastAsia="楷体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hint="eastAsia" w:ascii="楷体" w:hAnsi="楷体" w:eastAsia="楷体"/>
                                <w:sz w:val="32"/>
                                <w:szCs w:val="32"/>
                              </w:rPr>
                              <w:t>版）</w:t>
                            </w:r>
                          </w:p>
                          <w:p>
                            <w:pPr>
                              <w:pStyle w:val="18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8"/>
                              <w:jc w:val="both"/>
                            </w:pPr>
                          </w:p>
                          <w:p>
                            <w:pPr>
                              <w:pStyle w:val="18"/>
                              <w:jc w:val="both"/>
                            </w:pPr>
                          </w:p>
                          <w:p>
                            <w:pPr>
                              <w:pStyle w:val="18"/>
                              <w:jc w:val="both"/>
                            </w:pPr>
                          </w:p>
                          <w:p>
                            <w:pPr>
                              <w:pStyle w:val="18"/>
                              <w:jc w:val="both"/>
                            </w:pPr>
                          </w:p>
                          <w:p>
                            <w:pPr>
                              <w:pStyle w:val="18"/>
                              <w:jc w:val="both"/>
                            </w:pPr>
                          </w:p>
                          <w:p>
                            <w:pPr>
                              <w:pStyle w:val="19"/>
                              <w:rPr>
                                <w:rFonts w:ascii="Times New Roman" w:eastAsia="方正小标宋简体"/>
                                <w:bCs/>
                                <w:spacing w:val="0"/>
                                <w:w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方正小标宋简体"/>
                                <w:bCs/>
                                <w:spacing w:val="0"/>
                                <w:w w:val="100"/>
                                <w:sz w:val="32"/>
                                <w:szCs w:val="32"/>
                              </w:rPr>
                              <w:t>×××××  制定</w:t>
                            </w:r>
                          </w:p>
                          <w:p>
                            <w:pPr>
                              <w:pStyle w:val="19"/>
                              <w:rPr>
                                <w:rFonts w:ascii="Times New Roman" w:eastAsia="方正小标宋简体"/>
                                <w:bCs/>
                                <w:spacing w:val="0"/>
                                <w:w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方正小标宋简体"/>
                                <w:bCs/>
                                <w:spacing w:val="0"/>
                                <w:w w:val="100"/>
                                <w:sz w:val="32"/>
                                <w:szCs w:val="32"/>
                              </w:rPr>
                              <w:t>20××年××月  发布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15.1pt;margin-top:7.3pt;height:511.5pt;width:411.45pt;mso-position-horizontal-relative:margin;z-index:251658240;mso-width-relative:page;mso-height-relative:page;" fillcolor="#FFFFFF" filled="t" stroked="t" coordsize="21600,21600" o:gfxdata="UEsDBAoAAAAAAIdO4kAAAAAAAAAAAAAAAAAEAAAAZHJzL1BLAwQUAAAACACHTuJASdhM9NkAAAAK&#10;AQAADwAAAGRycy9kb3ducmV2LnhtbE2PwU7DMBBE70j8g7VIXCpqp4GQhjgVQuKAxIG0iLMbL0lE&#10;vI5iJy1/z3KC486MZt+Uu7MbxIJT6D1pSNYKBFLjbU+thvfD800OIkRD1gyeUMM3BthVlxelKaw/&#10;UY3LPraCSygURkMX41hIGZoOnQlrPyKx9+knZyKfUyvtZE5c7ga5USqTzvTEHzoz4lOHzdd+dhpe&#10;V9nb40u9yj/m5LANfli2dS+1vr5K1AOIiOf4F4ZffEaHipmOfiYbxKAhVRtOsn6bgWA/v0sTEEcW&#10;VHqfgaxK+X9C9QNQSwMEFAAAAAgAh07iQM5DmgslAgAAPgQAAA4AAABkcnMvZTJvRG9jLnhtbK1T&#10;zY7TMBC+I/EOlu80SUkLGzVdrboqQlpgpYUHcBwnsXBsM3abLA8Ab7AnLtx5rj4HEyct5UccED5Y&#10;Hs/48zffzKwu+1aRvQAnjc5pMospEZqbUuo6p+/ebp88p8R5pkumjBY5vReOXq4fP1p1NhNz0xhV&#10;CiAIol3W2Zw23tssihxvRMvczFih0VkZaJlHE+qoBNYhequieRwvo85AacFw4RzeXo9Oug74VSW4&#10;f1NVTniicorcfNgh7MWwR+sVy2pgtpF8osH+gUXLpMZPT1DXzDOyA/kbVCs5GGcqP+OmjUxVSS5C&#10;DphNEv+SzV3DrAi5oDjOnmRy/w+Wv97fApFlTheUaNZiiQ4Pnw9fvh2+fiLpIE9nXYZRd/YWhgSd&#10;vTH8vSPabBqma3EFYLpGsBJJJUN89NODwXD4lBTdK1MiOtt5E5TqK2gHQNSA9KEg96eCiN4TjpeL&#10;+XyRJsiMo2+ZXizjRShZxLLjcwvOvxCmJcMhp4AVD/Bsf+P8QIdlx5BA3yhZbqVSwYC62Cgge4bd&#10;sQ0rZIBZnocpTTr8/in+/XeIOKw/QbTSY5sr2eYUuxbXFKT0gChCo058j4qNyvu+6KciFKa8RyHB&#10;jE2MQ4eHxsBHSjps4Jy6DzsGghL1UmMxLpI0HTo+GOni2RwNOPcU5x6mOULl1FMyHjd+nJKdBVk3&#10;+FMSktfmCgtYySDtQHVkNZUdmzQoPg3UMAXndoj6Mfbr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nYTPTZAAAACgEAAA8AAAAAAAAAAQAgAAAAIgAAAGRycy9kb3ducmV2LnhtbFBLAQIUABQAAAAI&#10;AIdO4kDOQ5oLJQIAAD4EAAAOAAAAAAAAAAEAIAAAACgBAABkcnMvZTJvRG9jLnhtbFBLBQYAAAAA&#10;BgAGAFkBAAC/BQAAAAA=&#10;">
                <v:fill on="t" focussize="0,0"/>
                <v:stroke weight="0.5pt" color="#000000" miterlimit="2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pStyle w:val="14"/>
                        <w:spacing w:line="360" w:lineRule="auto"/>
                        <w:ind w:firstLine="0" w:firstLineChars="0"/>
                        <w:jc w:val="center"/>
                        <w:rPr>
                          <w:rFonts w:ascii="黑体" w:hAnsi="黑体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黑体" w:hAnsi="黑体"/>
                          <w:sz w:val="52"/>
                          <w:szCs w:val="52"/>
                        </w:rPr>
                        <w:t>X</w:t>
                      </w:r>
                      <w:r>
                        <w:rPr>
                          <w:rFonts w:ascii="黑体" w:hAnsi="黑体"/>
                          <w:sz w:val="52"/>
                          <w:szCs w:val="52"/>
                        </w:rPr>
                        <w:t>XXXXX</w:t>
                      </w:r>
                    </w:p>
                    <w:p>
                      <w:pPr>
                        <w:pStyle w:val="14"/>
                        <w:spacing w:line="360" w:lineRule="auto"/>
                        <w:ind w:firstLine="0" w:firstLineChars="0"/>
                        <w:jc w:val="center"/>
                        <w:rPr>
                          <w:rFonts w:ascii="黑体" w:hAnsi="黑体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黑体" w:hAnsi="黑体" w:eastAsia="黑体"/>
                          <w:sz w:val="52"/>
                          <w:szCs w:val="52"/>
                        </w:rPr>
                        <w:t>职业技能等级标准</w:t>
                      </w:r>
                    </w:p>
                    <w:p>
                      <w:pPr>
                        <w:pStyle w:val="14"/>
                        <w:spacing w:line="360" w:lineRule="auto"/>
                        <w:ind w:firstLine="0" w:firstLineChars="0"/>
                        <w:jc w:val="center"/>
                        <w:rPr>
                          <w:rFonts w:ascii="楷体" w:hAnsi="楷体" w:eastAsia="楷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" w:hAnsi="楷体" w:eastAsia="楷体"/>
                          <w:sz w:val="32"/>
                          <w:szCs w:val="32"/>
                        </w:rPr>
                        <w:t>（2</w:t>
                      </w:r>
                      <w:r>
                        <w:rPr>
                          <w:rFonts w:ascii="楷体" w:hAnsi="楷体" w:eastAsia="楷体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hint="eastAsia" w:ascii="楷体" w:hAnsi="楷体" w:eastAsia="楷体"/>
                          <w:sz w:val="32"/>
                          <w:szCs w:val="32"/>
                        </w:rPr>
                        <w:t>××年×.</w:t>
                      </w:r>
                      <w:r>
                        <w:rPr>
                          <w:rFonts w:ascii="楷体" w:hAnsi="楷体" w:eastAsia="楷体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hint="eastAsia" w:ascii="楷体" w:hAnsi="楷体" w:eastAsia="楷体"/>
                          <w:sz w:val="32"/>
                          <w:szCs w:val="32"/>
                        </w:rPr>
                        <w:t>版）</w:t>
                      </w:r>
                    </w:p>
                    <w:p>
                      <w:pPr>
                        <w:pStyle w:val="18"/>
                        <w:jc w:val="both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>
                      <w:pPr>
                        <w:pStyle w:val="18"/>
                        <w:jc w:val="both"/>
                      </w:pPr>
                    </w:p>
                    <w:p>
                      <w:pPr>
                        <w:pStyle w:val="18"/>
                        <w:jc w:val="both"/>
                      </w:pPr>
                    </w:p>
                    <w:p>
                      <w:pPr>
                        <w:pStyle w:val="18"/>
                        <w:jc w:val="both"/>
                      </w:pPr>
                    </w:p>
                    <w:p>
                      <w:pPr>
                        <w:pStyle w:val="18"/>
                        <w:jc w:val="both"/>
                      </w:pPr>
                    </w:p>
                    <w:p>
                      <w:pPr>
                        <w:pStyle w:val="18"/>
                        <w:jc w:val="both"/>
                      </w:pPr>
                    </w:p>
                    <w:p>
                      <w:pPr>
                        <w:pStyle w:val="19"/>
                        <w:rPr>
                          <w:rFonts w:ascii="Times New Roman" w:eastAsia="方正小标宋简体"/>
                          <w:bCs/>
                          <w:spacing w:val="0"/>
                          <w:w w:val="1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方正小标宋简体"/>
                          <w:bCs/>
                          <w:spacing w:val="0"/>
                          <w:w w:val="100"/>
                          <w:sz w:val="32"/>
                          <w:szCs w:val="32"/>
                        </w:rPr>
                        <w:t>×××××  制定</w:t>
                      </w:r>
                    </w:p>
                    <w:p>
                      <w:pPr>
                        <w:pStyle w:val="19"/>
                        <w:rPr>
                          <w:rFonts w:ascii="Times New Roman" w:eastAsia="方正小标宋简体"/>
                          <w:bCs/>
                          <w:spacing w:val="0"/>
                          <w:w w:val="1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方正小标宋简体"/>
                          <w:bCs/>
                          <w:spacing w:val="0"/>
                          <w:w w:val="100"/>
                          <w:sz w:val="32"/>
                          <w:szCs w:val="32"/>
                        </w:rPr>
                        <w:t>20××年××月  发布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  <w:bookmarkStart w:id="111" w:name="_Toc317597302"/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0" w:firstLineChars="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0" w:firstLineChars="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0" w:firstLineChars="0"/>
        <w:jc w:val="center"/>
        <w:outlineLvl w:val="0"/>
        <w:rPr>
          <w:rFonts w:ascii="黑体" w:hAnsi="黑体" w:eastAsia="黑体"/>
          <w:sz w:val="32"/>
          <w:szCs w:val="32"/>
        </w:rPr>
      </w:pPr>
      <w:bookmarkStart w:id="112" w:name="_Toc2742"/>
      <w:bookmarkStart w:id="113" w:name="_Toc18963"/>
      <w:bookmarkStart w:id="114" w:name="_Toc25213"/>
      <w:bookmarkStart w:id="115" w:name="_Toc25344"/>
      <w:r>
        <w:rPr>
          <w:rFonts w:hint="eastAsia" w:ascii="黑体" w:hAnsi="黑体" w:eastAsia="黑体"/>
          <w:sz w:val="32"/>
          <w:szCs w:val="32"/>
        </w:rPr>
        <w:t>目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次</w:t>
      </w:r>
      <w:bookmarkEnd w:id="112"/>
      <w:bookmarkEnd w:id="113"/>
      <w:bookmarkEnd w:id="114"/>
      <w:bookmarkEnd w:id="115"/>
    </w:p>
    <w:p>
      <w:pPr>
        <w:pStyle w:val="14"/>
        <w:ind w:firstLine="0" w:firstLineChars="0"/>
        <w:rPr>
          <w:rFonts w:hAnsi="宋体"/>
          <w:szCs w:val="21"/>
        </w:rPr>
      </w:pPr>
    </w:p>
    <w:p>
      <w:pPr>
        <w:pStyle w:val="14"/>
        <w:ind w:firstLine="0" w:firstLineChars="0"/>
        <w:rPr>
          <w:rFonts w:ascii="Times New Roman" w:eastAsia="方正仿宋简体"/>
          <w:sz w:val="24"/>
          <w:szCs w:val="24"/>
        </w:rPr>
      </w:pPr>
      <w:r>
        <w:rPr>
          <w:rFonts w:ascii="Times New Roman" w:eastAsia="方正仿宋简体"/>
          <w:sz w:val="24"/>
          <w:szCs w:val="24"/>
        </w:rPr>
        <w:t>前言﹍﹍﹍﹍﹍﹍﹍﹍﹍﹍﹍﹍﹍﹍﹍﹍﹍﹍﹍﹍﹍﹍﹍﹍﹍﹍﹍﹍</w:t>
      </w:r>
      <w:r>
        <w:rPr>
          <w:rFonts w:ascii="Times New Roman" w:eastAsia="方正仿宋简体"/>
          <w:bCs/>
          <w:sz w:val="24"/>
          <w:szCs w:val="24"/>
        </w:rPr>
        <w:t>××</w:t>
      </w:r>
    </w:p>
    <w:p>
      <w:pPr>
        <w:pStyle w:val="14"/>
        <w:ind w:firstLine="0" w:firstLineChars="0"/>
        <w:outlineLvl w:val="0"/>
        <w:rPr>
          <w:rFonts w:ascii="Times New Roman" w:eastAsia="方正仿宋简体"/>
          <w:sz w:val="24"/>
          <w:szCs w:val="24"/>
        </w:rPr>
      </w:pPr>
      <w:bookmarkStart w:id="116" w:name="_Toc29107"/>
      <w:bookmarkStart w:id="117" w:name="_Toc18856"/>
      <w:bookmarkStart w:id="118" w:name="_Toc12106"/>
      <w:bookmarkStart w:id="119" w:name="_Toc29434"/>
      <w:r>
        <w:rPr>
          <w:rFonts w:ascii="Times New Roman" w:eastAsia="方正仿宋简体"/>
          <w:sz w:val="24"/>
          <w:szCs w:val="24"/>
        </w:rPr>
        <w:t>1 范围﹍﹍﹍﹍﹍﹍﹍﹍﹍﹍﹍﹍﹍﹍﹍﹍﹍﹍﹍﹍﹍﹍﹍﹍﹍﹍﹍</w:t>
      </w:r>
      <w:r>
        <w:rPr>
          <w:rFonts w:ascii="Times New Roman" w:eastAsia="方正仿宋简体"/>
          <w:bCs/>
          <w:sz w:val="24"/>
          <w:szCs w:val="24"/>
        </w:rPr>
        <w:t>××</w:t>
      </w:r>
      <w:bookmarkEnd w:id="116"/>
      <w:bookmarkEnd w:id="117"/>
      <w:bookmarkEnd w:id="118"/>
      <w:bookmarkEnd w:id="119"/>
    </w:p>
    <w:p>
      <w:pPr>
        <w:pStyle w:val="14"/>
        <w:ind w:firstLine="0" w:firstLineChars="0"/>
        <w:outlineLvl w:val="0"/>
        <w:rPr>
          <w:rFonts w:ascii="Times New Roman" w:eastAsia="方正仿宋简体"/>
          <w:sz w:val="24"/>
          <w:szCs w:val="24"/>
        </w:rPr>
      </w:pPr>
      <w:bookmarkStart w:id="120" w:name="_Toc32334"/>
      <w:bookmarkStart w:id="121" w:name="_Toc2893"/>
      <w:bookmarkStart w:id="122" w:name="_Toc20974"/>
      <w:bookmarkStart w:id="123" w:name="_Toc8624"/>
      <w:r>
        <w:rPr>
          <w:rFonts w:ascii="Times New Roman" w:eastAsia="方正仿宋简体"/>
          <w:sz w:val="24"/>
          <w:szCs w:val="24"/>
        </w:rPr>
        <w:t>2 规范性引用文件﹍﹍﹍﹍﹍﹍﹍﹍﹍﹍﹍﹍﹍﹍﹍﹍﹍﹍﹍﹍﹍﹍</w:t>
      </w:r>
      <w:r>
        <w:rPr>
          <w:rFonts w:ascii="Times New Roman" w:eastAsia="方正仿宋简体"/>
          <w:bCs/>
          <w:sz w:val="24"/>
          <w:szCs w:val="24"/>
        </w:rPr>
        <w:t>××</w:t>
      </w:r>
      <w:bookmarkEnd w:id="120"/>
      <w:bookmarkEnd w:id="121"/>
      <w:bookmarkEnd w:id="122"/>
      <w:bookmarkEnd w:id="123"/>
    </w:p>
    <w:p>
      <w:pPr>
        <w:pStyle w:val="14"/>
        <w:ind w:firstLine="0" w:firstLineChars="0"/>
        <w:outlineLvl w:val="0"/>
        <w:rPr>
          <w:rFonts w:ascii="Times New Roman" w:eastAsia="方正仿宋简体"/>
          <w:sz w:val="24"/>
          <w:szCs w:val="24"/>
        </w:rPr>
      </w:pPr>
      <w:bookmarkStart w:id="124" w:name="_Toc26078"/>
      <w:bookmarkStart w:id="125" w:name="_Toc29560"/>
      <w:bookmarkStart w:id="126" w:name="_Toc4815"/>
      <w:bookmarkStart w:id="127" w:name="_Toc24794"/>
      <w:r>
        <w:rPr>
          <w:rFonts w:ascii="Times New Roman" w:eastAsia="方正仿宋简体"/>
          <w:sz w:val="24"/>
          <w:szCs w:val="24"/>
        </w:rPr>
        <w:t>3 术语和定义﹍﹍﹍﹍﹍﹍﹍﹍﹍﹍﹍﹍﹍﹍﹍﹍﹍﹍﹍﹍﹍﹍﹍﹍</w:t>
      </w:r>
      <w:r>
        <w:rPr>
          <w:rFonts w:ascii="Times New Roman" w:eastAsia="方正仿宋简体"/>
          <w:bCs/>
          <w:sz w:val="24"/>
          <w:szCs w:val="24"/>
        </w:rPr>
        <w:t>××</w:t>
      </w:r>
      <w:bookmarkEnd w:id="124"/>
      <w:bookmarkEnd w:id="125"/>
      <w:bookmarkEnd w:id="126"/>
      <w:bookmarkEnd w:id="127"/>
    </w:p>
    <w:p>
      <w:pPr>
        <w:pStyle w:val="14"/>
        <w:ind w:firstLine="0" w:firstLineChars="0"/>
        <w:outlineLvl w:val="0"/>
        <w:rPr>
          <w:rFonts w:ascii="Times New Roman" w:eastAsia="方正仿宋简体"/>
          <w:sz w:val="24"/>
          <w:szCs w:val="24"/>
        </w:rPr>
      </w:pPr>
      <w:bookmarkStart w:id="128" w:name="_Toc20249"/>
      <w:bookmarkStart w:id="129" w:name="_Toc10164"/>
      <w:bookmarkStart w:id="130" w:name="_Toc10515"/>
      <w:bookmarkStart w:id="131" w:name="_Toc28566"/>
      <w:r>
        <w:rPr>
          <w:rFonts w:ascii="Times New Roman" w:eastAsia="方正仿宋简体"/>
          <w:sz w:val="24"/>
          <w:szCs w:val="24"/>
        </w:rPr>
        <w:t xml:space="preserve">4 </w:t>
      </w:r>
      <w:r>
        <w:rPr>
          <w:rFonts w:hint="eastAsia" w:ascii="Times New Roman" w:eastAsia="方正仿宋简体"/>
          <w:sz w:val="24"/>
          <w:szCs w:val="24"/>
        </w:rPr>
        <w:t>适用</w:t>
      </w:r>
      <w:r>
        <w:rPr>
          <w:rFonts w:ascii="Times New Roman" w:eastAsia="方正仿宋简体"/>
          <w:sz w:val="24"/>
          <w:szCs w:val="24"/>
        </w:rPr>
        <w:t>院校专业﹍﹍﹍﹍﹍﹍﹍﹍﹍﹍﹍﹍﹍﹍﹍﹍﹍﹍﹍﹍﹍﹍﹍</w:t>
      </w:r>
      <w:r>
        <w:rPr>
          <w:rFonts w:ascii="Times New Roman" w:eastAsia="方正仿宋简体"/>
          <w:bCs/>
          <w:sz w:val="24"/>
          <w:szCs w:val="24"/>
        </w:rPr>
        <w:t>××</w:t>
      </w:r>
      <w:bookmarkEnd w:id="128"/>
      <w:bookmarkEnd w:id="129"/>
      <w:bookmarkEnd w:id="130"/>
      <w:bookmarkEnd w:id="131"/>
    </w:p>
    <w:p>
      <w:pPr>
        <w:pStyle w:val="14"/>
        <w:ind w:firstLine="0" w:firstLineChars="0"/>
        <w:outlineLvl w:val="0"/>
        <w:rPr>
          <w:rFonts w:ascii="Times New Roman" w:eastAsia="方正仿宋简体"/>
          <w:sz w:val="24"/>
          <w:szCs w:val="24"/>
        </w:rPr>
      </w:pPr>
      <w:bookmarkStart w:id="132" w:name="_Toc31064"/>
      <w:bookmarkStart w:id="133" w:name="_Toc30683"/>
      <w:bookmarkStart w:id="134" w:name="_Toc29052"/>
      <w:bookmarkStart w:id="135" w:name="_Toc6018"/>
      <w:r>
        <w:rPr>
          <w:rFonts w:ascii="Times New Roman" w:eastAsia="方正仿宋简体"/>
          <w:sz w:val="24"/>
          <w:szCs w:val="24"/>
        </w:rPr>
        <w:t>5 面向</w:t>
      </w:r>
      <w:r>
        <w:rPr>
          <w:rFonts w:hint="eastAsia" w:ascii="Times New Roman" w:eastAsia="方正仿宋简体"/>
          <w:sz w:val="24"/>
          <w:szCs w:val="24"/>
        </w:rPr>
        <w:t>职业</w:t>
      </w:r>
      <w:r>
        <w:rPr>
          <w:rFonts w:ascii="Times New Roman" w:eastAsia="方正仿宋简体"/>
          <w:sz w:val="24"/>
          <w:szCs w:val="24"/>
        </w:rPr>
        <w:t>岗位（群）﹍﹍﹍﹍﹍﹍﹍﹍﹍﹍﹍﹍﹍﹍﹍﹍﹍﹍﹍﹍</w:t>
      </w:r>
      <w:r>
        <w:rPr>
          <w:rFonts w:ascii="Times New Roman" w:eastAsia="方正仿宋简体"/>
          <w:bCs/>
          <w:sz w:val="24"/>
          <w:szCs w:val="24"/>
        </w:rPr>
        <w:t>××</w:t>
      </w:r>
      <w:bookmarkEnd w:id="132"/>
      <w:bookmarkEnd w:id="133"/>
      <w:bookmarkEnd w:id="134"/>
      <w:bookmarkEnd w:id="135"/>
    </w:p>
    <w:p>
      <w:pPr>
        <w:pStyle w:val="14"/>
        <w:ind w:firstLine="0" w:firstLineChars="0"/>
        <w:outlineLvl w:val="0"/>
        <w:rPr>
          <w:rFonts w:ascii="Times New Roman" w:eastAsia="方正仿宋简体"/>
          <w:sz w:val="24"/>
          <w:szCs w:val="24"/>
        </w:rPr>
      </w:pPr>
      <w:bookmarkStart w:id="136" w:name="_Toc2231"/>
      <w:bookmarkStart w:id="137" w:name="_Toc21892"/>
      <w:bookmarkStart w:id="138" w:name="_Toc8060"/>
      <w:bookmarkStart w:id="139" w:name="_Toc20342"/>
      <w:r>
        <w:rPr>
          <w:rFonts w:ascii="Times New Roman" w:eastAsia="方正仿宋简体"/>
          <w:sz w:val="24"/>
          <w:szCs w:val="24"/>
        </w:rPr>
        <w:t>6 职业技能要求﹍﹍﹍﹍﹍﹍﹍﹍﹍﹍﹍﹍﹍﹍﹍﹍﹍﹍﹍﹍﹍﹍﹍</w:t>
      </w:r>
      <w:r>
        <w:rPr>
          <w:rFonts w:ascii="Times New Roman" w:eastAsia="方正仿宋简体"/>
          <w:bCs/>
          <w:sz w:val="24"/>
          <w:szCs w:val="24"/>
        </w:rPr>
        <w:t>××</w:t>
      </w:r>
      <w:bookmarkEnd w:id="136"/>
      <w:bookmarkEnd w:id="137"/>
      <w:bookmarkEnd w:id="138"/>
      <w:bookmarkEnd w:id="139"/>
    </w:p>
    <w:p>
      <w:pPr>
        <w:pStyle w:val="14"/>
        <w:ind w:firstLine="0" w:firstLineChars="0"/>
        <w:rPr>
          <w:rFonts w:ascii="Times New Roman" w:eastAsia="方正仿宋简体"/>
          <w:sz w:val="24"/>
          <w:szCs w:val="24"/>
        </w:rPr>
      </w:pPr>
      <w:r>
        <w:rPr>
          <w:rFonts w:ascii="Times New Roman" w:eastAsia="方正仿宋简体"/>
          <w:sz w:val="24"/>
          <w:szCs w:val="24"/>
        </w:rPr>
        <w:t>参考文献﹍﹍﹍﹍﹍﹍﹍﹍﹍﹍﹍﹍﹍﹍﹍﹍﹍﹍﹍﹍﹍﹍﹍﹍﹍﹍</w:t>
      </w:r>
      <w:r>
        <w:rPr>
          <w:rFonts w:ascii="Times New Roman" w:eastAsia="方正仿宋简体"/>
          <w:bCs/>
          <w:sz w:val="24"/>
          <w:szCs w:val="24"/>
        </w:rPr>
        <w:t>××</w:t>
      </w:r>
    </w:p>
    <w:p>
      <w:pPr>
        <w:pStyle w:val="15"/>
        <w:ind w:left="0"/>
        <w:rPr>
          <w:rFonts w:hAnsi="宋体"/>
          <w:sz w:val="21"/>
          <w:szCs w:val="21"/>
        </w:rPr>
      </w:pP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14"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Cs w:val="32"/>
        </w:rPr>
      </w:pPr>
    </w:p>
    <w:p>
      <w:pPr>
        <w:pStyle w:val="14"/>
        <w:spacing w:line="360" w:lineRule="auto"/>
        <w:ind w:firstLine="0" w:firstLineChars="0"/>
        <w:jc w:val="center"/>
        <w:outlineLvl w:val="0"/>
        <w:rPr>
          <w:rFonts w:ascii="黑体" w:hAnsi="黑体" w:eastAsia="黑体"/>
          <w:sz w:val="32"/>
          <w:szCs w:val="32"/>
        </w:rPr>
      </w:pPr>
      <w:bookmarkStart w:id="140" w:name="_Toc23460"/>
      <w:bookmarkStart w:id="141" w:name="_Toc17377"/>
      <w:bookmarkStart w:id="142" w:name="_Toc5383"/>
      <w:bookmarkStart w:id="143" w:name="_Toc27050"/>
      <w:r>
        <w:rPr>
          <w:rFonts w:hint="eastAsia" w:ascii="黑体" w:hAnsi="黑体" w:eastAsia="黑体"/>
          <w:sz w:val="32"/>
          <w:szCs w:val="32"/>
        </w:rPr>
        <w:t>前</w:t>
      </w:r>
      <w:bookmarkStart w:id="144" w:name="BKQY"/>
      <w:r>
        <w:rPr>
          <w:rFonts w:hint="eastAsia" w:ascii="黑体" w:hAnsi="黑体" w:eastAsia="黑体"/>
          <w:sz w:val="32"/>
          <w:szCs w:val="32"/>
        </w:rPr>
        <w:t xml:space="preserve">    言</w:t>
      </w:r>
      <w:bookmarkEnd w:id="111"/>
      <w:bookmarkEnd w:id="140"/>
      <w:bookmarkEnd w:id="141"/>
      <w:bookmarkEnd w:id="142"/>
      <w:bookmarkEnd w:id="143"/>
      <w:bookmarkEnd w:id="144"/>
    </w:p>
    <w:p>
      <w:pPr>
        <w:pStyle w:val="14"/>
        <w:spacing w:line="600" w:lineRule="exact"/>
        <w:ind w:firstLine="480"/>
        <w:jc w:val="center"/>
        <w:rPr>
          <w:rFonts w:ascii="方正仿宋简体" w:hAnsi="方正仿宋简体" w:eastAsia="方正仿宋简体" w:cs="方正仿宋简体"/>
          <w:sz w:val="24"/>
          <w:szCs w:val="24"/>
        </w:rPr>
      </w:pPr>
    </w:p>
    <w:p>
      <w:pPr>
        <w:pStyle w:val="14"/>
        <w:overflowPunct w:val="0"/>
        <w:ind w:firstLine="480"/>
        <w:rPr>
          <w:rFonts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本标准按</w:t>
      </w:r>
      <w:r>
        <w:rPr>
          <w:rFonts w:ascii="Times New Roman" w:eastAsia="方正仿宋简体"/>
          <w:sz w:val="24"/>
          <w:szCs w:val="24"/>
        </w:rPr>
        <w:t>照GB/T 1.1-2020</w:t>
      </w:r>
      <w:r>
        <w:rPr>
          <w:rFonts w:hint="eastAsia" w:ascii="Times New Roman" w:eastAsia="方正仿宋简体"/>
          <w:sz w:val="24"/>
          <w:szCs w:val="24"/>
        </w:rPr>
        <w:t>《标准化工作导则</w:t>
      </w:r>
      <w:r>
        <w:rPr>
          <w:rFonts w:ascii="Times New Roman" w:eastAsia="方正仿宋简体"/>
          <w:sz w:val="24"/>
          <w:szCs w:val="24"/>
        </w:rPr>
        <w:t xml:space="preserve"> </w:t>
      </w:r>
      <w:r>
        <w:rPr>
          <w:rFonts w:hint="eastAsia" w:ascii="Times New Roman" w:eastAsia="方正仿宋简体"/>
          <w:sz w:val="24"/>
          <w:szCs w:val="24"/>
        </w:rPr>
        <w:t>第</w:t>
      </w:r>
      <w:r>
        <w:rPr>
          <w:rFonts w:ascii="Times New Roman" w:eastAsia="方正仿宋简体"/>
          <w:sz w:val="24"/>
          <w:szCs w:val="24"/>
        </w:rPr>
        <w:t>1</w:t>
      </w:r>
      <w:r>
        <w:rPr>
          <w:rFonts w:hint="eastAsia" w:ascii="Times New Roman" w:eastAsia="方正仿宋简体"/>
          <w:sz w:val="24"/>
          <w:szCs w:val="24"/>
        </w:rPr>
        <w:t>部分：标准化文件的结构和起草规则》的规定</w:t>
      </w:r>
      <w:r>
        <w:rPr>
          <w:rFonts w:ascii="Times New Roman" w:eastAsia="方正仿宋简体"/>
          <w:sz w:val="24"/>
          <w:szCs w:val="24"/>
        </w:rPr>
        <w:t>起草。</w:t>
      </w:r>
    </w:p>
    <w:p>
      <w:pPr>
        <w:pStyle w:val="14"/>
        <w:overflowPunct w:val="0"/>
        <w:ind w:firstLine="480"/>
        <w:rPr>
          <w:rFonts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本标准起草单位：</w:t>
      </w:r>
      <w:r>
        <w:rPr>
          <w:rFonts w:hint="eastAsia" w:ascii="方正仿宋简体" w:hAnsi="方正仿宋简体" w:eastAsia="方正仿宋简体" w:cs="方正仿宋简体"/>
          <w:bCs/>
          <w:sz w:val="24"/>
          <w:szCs w:val="24"/>
        </w:rPr>
        <w:t>×××××××××××××××××××××××××××××××××××××××××××××××××××××××。</w:t>
      </w:r>
    </w:p>
    <w:p>
      <w:pPr>
        <w:pStyle w:val="14"/>
        <w:overflowPunct w:val="0"/>
        <w:ind w:firstLine="480"/>
        <w:rPr>
          <w:rFonts w:ascii="方正仿宋简体" w:hAnsi="方正仿宋简体" w:eastAsia="方正仿宋简体" w:cs="方正仿宋简体"/>
          <w:bCs/>
          <w:sz w:val="24"/>
          <w:szCs w:val="24"/>
          <w:highlight w:val="yellow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本标准主要起草人：</w:t>
      </w:r>
      <w:r>
        <w:rPr>
          <w:rFonts w:hint="eastAsia" w:ascii="方正仿宋简体" w:hAnsi="方正仿宋简体" w:eastAsia="方正仿宋简体" w:cs="方正仿宋简体"/>
          <w:bCs/>
          <w:sz w:val="24"/>
          <w:szCs w:val="24"/>
        </w:rPr>
        <w:t>×××××××××××××××××××××××××××××××××××××××××××××××××××××××。</w:t>
      </w:r>
    </w:p>
    <w:p>
      <w:pPr>
        <w:pStyle w:val="14"/>
        <w:spacing w:line="600" w:lineRule="exact"/>
        <w:ind w:firstLine="480"/>
        <w:rPr>
          <w:rFonts w:hAnsi="宋体"/>
          <w:sz w:val="24"/>
          <w:szCs w:val="24"/>
        </w:rPr>
      </w:pPr>
    </w:p>
    <w:p>
      <w:pPr>
        <w:pStyle w:val="14"/>
        <w:ind w:firstLine="480"/>
        <w:rPr>
          <w:rFonts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声明：本标准的知识产权归属于×××，未经×××同意，不得印刷、销售。</w:t>
      </w:r>
    </w:p>
    <w:p>
      <w:pPr>
        <w:pStyle w:val="14"/>
        <w:spacing w:line="600" w:lineRule="exact"/>
        <w:ind w:firstLine="480"/>
        <w:rPr>
          <w:sz w:val="24"/>
          <w:szCs w:val="24"/>
        </w:rPr>
      </w:pPr>
    </w:p>
    <w:p>
      <w:pPr>
        <w:pStyle w:val="14"/>
        <w:spacing w:line="600" w:lineRule="exact"/>
        <w:ind w:firstLine="400"/>
        <w:rPr>
          <w:szCs w:val="21"/>
        </w:rPr>
      </w:pPr>
    </w:p>
    <w:p>
      <w:pPr>
        <w:pStyle w:val="14"/>
        <w:ind w:firstLine="400"/>
        <w:rPr>
          <w:szCs w:val="21"/>
        </w:rPr>
      </w:pPr>
    </w:p>
    <w:p>
      <w:pPr>
        <w:pStyle w:val="14"/>
        <w:ind w:firstLine="400"/>
        <w:rPr>
          <w:szCs w:val="21"/>
        </w:rPr>
      </w:pPr>
    </w:p>
    <w:p>
      <w:pPr>
        <w:pStyle w:val="14"/>
        <w:ind w:firstLine="400"/>
        <w:rPr>
          <w:szCs w:val="21"/>
        </w:rPr>
      </w:pPr>
    </w:p>
    <w:p>
      <w:pPr>
        <w:pStyle w:val="14"/>
        <w:ind w:firstLine="400"/>
        <w:rPr>
          <w:szCs w:val="21"/>
        </w:rPr>
      </w:pPr>
    </w:p>
    <w:p>
      <w:pPr>
        <w:pStyle w:val="14"/>
        <w:ind w:firstLine="400"/>
        <w:rPr>
          <w:szCs w:val="21"/>
        </w:rPr>
      </w:pPr>
    </w:p>
    <w:p>
      <w:pPr>
        <w:pStyle w:val="14"/>
        <w:ind w:firstLine="400"/>
        <w:rPr>
          <w:szCs w:val="21"/>
        </w:rPr>
      </w:pPr>
    </w:p>
    <w:p>
      <w:pPr>
        <w:pStyle w:val="14"/>
        <w:ind w:firstLine="400"/>
        <w:rPr>
          <w:szCs w:val="21"/>
        </w:rPr>
      </w:pPr>
    </w:p>
    <w:p>
      <w:pPr>
        <w:pStyle w:val="14"/>
        <w:ind w:firstLine="400"/>
        <w:rPr>
          <w:szCs w:val="21"/>
        </w:rPr>
      </w:pPr>
    </w:p>
    <w:p>
      <w:pPr>
        <w:pStyle w:val="16"/>
        <w:numPr>
          <w:ilvl w:val="0"/>
          <w:numId w:val="0"/>
        </w:numPr>
        <w:spacing w:beforeLines="0" w:afterLines="0"/>
        <w:outlineLvl w:val="0"/>
        <w:rPr>
          <w:sz w:val="24"/>
          <w:szCs w:val="24"/>
        </w:rPr>
      </w:pPr>
      <w:r>
        <w:rPr>
          <w:szCs w:val="21"/>
        </w:rPr>
        <w:br w:type="page"/>
      </w:r>
      <w:bookmarkStart w:id="145" w:name="_Toc311743864"/>
      <w:bookmarkStart w:id="146" w:name="_Toc4458"/>
      <w:bookmarkStart w:id="147" w:name="_Toc315966972"/>
      <w:bookmarkStart w:id="148" w:name="_Toc315953471"/>
      <w:bookmarkStart w:id="149" w:name="_Toc10395653"/>
      <w:bookmarkStart w:id="150" w:name="_Toc27676"/>
      <w:bookmarkStart w:id="151" w:name="_Toc10449379"/>
      <w:bookmarkStart w:id="152" w:name="_Toc9206294"/>
      <w:bookmarkStart w:id="153" w:name="_Toc10449957"/>
      <w:bookmarkStart w:id="154" w:name="_Toc10448171"/>
      <w:bookmarkStart w:id="155" w:name="_Toc4349"/>
      <w:bookmarkStart w:id="156" w:name="_Toc13337"/>
      <w:bookmarkStart w:id="157" w:name="_Toc311705334"/>
      <w:bookmarkStart w:id="158" w:name="_Toc312058563"/>
      <w:bookmarkStart w:id="159" w:name="_Toc317597303"/>
      <w:bookmarkStart w:id="160" w:name="_Toc311494302"/>
      <w:bookmarkStart w:id="161" w:name="_Toc312063236"/>
      <w:bookmarkStart w:id="162" w:name="_Toc312058602"/>
      <w:bookmarkStart w:id="163" w:name="_Toc311493693"/>
      <w:bookmarkStart w:id="164" w:name="_Toc10449822"/>
      <w:bookmarkStart w:id="165" w:name="_Toc311705223"/>
      <w:bookmarkStart w:id="166" w:name="_Toc315953585"/>
      <w:bookmarkStart w:id="167" w:name="_Toc9206518"/>
      <w:bookmarkStart w:id="168" w:name="_Toc311745434"/>
      <w:bookmarkStart w:id="169" w:name="_Toc311472175"/>
      <w:bookmarkStart w:id="170" w:name="_Toc9461596"/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范围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>
      <w:pPr>
        <w:pStyle w:val="14"/>
        <w:ind w:firstLine="480"/>
        <w:rPr>
          <w:rFonts w:hAnsi="宋体"/>
          <w:sz w:val="24"/>
          <w:szCs w:val="24"/>
        </w:rPr>
      </w:pPr>
      <w:bookmarkStart w:id="171" w:name="_Toc311493694"/>
      <w:bookmarkStart w:id="172" w:name="_Toc311705224"/>
      <w:bookmarkStart w:id="173" w:name="_Toc311494303"/>
      <w:bookmarkStart w:id="174" w:name="_Toc311745435"/>
      <w:bookmarkStart w:id="175" w:name="_Toc311705335"/>
      <w:bookmarkStart w:id="176" w:name="_Toc311743865"/>
      <w:bookmarkStart w:id="177" w:name="_Toc311472176"/>
      <w:r>
        <w:rPr>
          <w:rFonts w:hint="eastAsia" w:hAnsi="宋体"/>
          <w:sz w:val="24"/>
          <w:szCs w:val="24"/>
        </w:rPr>
        <w:t>本标准规定了</w:t>
      </w:r>
      <w:r>
        <w:rPr>
          <w:rFonts w:hint="eastAsia" w:hAnsi="宋体"/>
          <w:bCs/>
          <w:sz w:val="24"/>
          <w:szCs w:val="24"/>
        </w:rPr>
        <w:t>×××××××</w:t>
      </w:r>
      <w:r>
        <w:rPr>
          <w:rFonts w:hint="eastAsia" w:hAnsi="宋体"/>
          <w:sz w:val="24"/>
          <w:szCs w:val="24"/>
        </w:rPr>
        <w:t>职业技能等级对应的工作领域、工作任务及职业技能要求。</w:t>
      </w:r>
    </w:p>
    <w:p>
      <w:pPr>
        <w:pStyle w:val="14"/>
        <w:ind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本标准适用于</w:t>
      </w:r>
      <w:r>
        <w:rPr>
          <w:rFonts w:hint="eastAsia" w:hAnsi="宋体"/>
          <w:bCs/>
          <w:sz w:val="24"/>
          <w:szCs w:val="24"/>
        </w:rPr>
        <w:t>×××××××</w:t>
      </w:r>
      <w:r>
        <w:rPr>
          <w:rFonts w:hint="eastAsia" w:hAnsi="宋体"/>
          <w:sz w:val="24"/>
          <w:szCs w:val="24"/>
        </w:rPr>
        <w:t>职业技能培训、考核与评价，相关用人单位的人员聘用、培训与考核可参照使用。</w:t>
      </w:r>
    </w:p>
    <w:p>
      <w:pPr>
        <w:pStyle w:val="16"/>
        <w:numPr>
          <w:ilvl w:val="0"/>
          <w:numId w:val="0"/>
        </w:numPr>
        <w:spacing w:beforeLines="0" w:afterLines="0"/>
        <w:outlineLvl w:val="0"/>
        <w:rPr>
          <w:sz w:val="24"/>
          <w:szCs w:val="24"/>
        </w:rPr>
      </w:pPr>
      <w:bookmarkStart w:id="178" w:name="_Toc312063237"/>
      <w:bookmarkStart w:id="179" w:name="_Toc315953472"/>
      <w:bookmarkStart w:id="180" w:name="_Toc10449958"/>
      <w:bookmarkStart w:id="181" w:name="_Toc9461597"/>
      <w:bookmarkStart w:id="182" w:name="_Toc312058603"/>
      <w:bookmarkStart w:id="183" w:name="_Toc315966973"/>
      <w:bookmarkStart w:id="184" w:name="_Toc10449823"/>
      <w:bookmarkStart w:id="185" w:name="_Toc9206519"/>
      <w:bookmarkStart w:id="186" w:name="_Toc23732"/>
      <w:bookmarkStart w:id="187" w:name="_Toc312058564"/>
      <w:bookmarkStart w:id="188" w:name="_Toc10395654"/>
      <w:bookmarkStart w:id="189" w:name="_Toc10449380"/>
      <w:bookmarkStart w:id="190" w:name="_Toc317597304"/>
      <w:bookmarkStart w:id="191" w:name="_Toc10448172"/>
      <w:bookmarkStart w:id="192" w:name="_Toc315953586"/>
      <w:bookmarkStart w:id="193" w:name="_Toc15832"/>
      <w:bookmarkStart w:id="194" w:name="_Toc32126"/>
      <w:bookmarkStart w:id="195" w:name="_Toc9206295"/>
      <w:bookmarkStart w:id="196" w:name="_Toc5721"/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规范性引用文件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>
      <w:pPr>
        <w:pStyle w:val="14"/>
        <w:ind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下列文件对于本标准的应用是必不可少的。凡是注日期的引用文件，仅注日期的版本适用于本标准。凡是不注日期的引用文件，其最新版本适用于本标准。</w:t>
      </w:r>
    </w:p>
    <w:p>
      <w:pPr>
        <w:pStyle w:val="14"/>
        <w:ind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××× ××× ××××××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示例：</w:t>
      </w:r>
    </w:p>
    <w:p>
      <w:pPr>
        <w:pStyle w:val="14"/>
        <w:ind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GB/T 18354 物流术语</w:t>
      </w:r>
    </w:p>
    <w:p>
      <w:pPr>
        <w:pStyle w:val="16"/>
        <w:numPr>
          <w:ilvl w:val="0"/>
          <w:numId w:val="0"/>
        </w:numPr>
        <w:spacing w:beforeLines="0" w:afterLines="0"/>
        <w:outlineLvl w:val="0"/>
        <w:rPr>
          <w:sz w:val="24"/>
          <w:szCs w:val="24"/>
        </w:rPr>
      </w:pPr>
      <w:bookmarkStart w:id="197" w:name="_Toc311472177"/>
      <w:bookmarkEnd w:id="197"/>
      <w:bookmarkStart w:id="198" w:name="_Toc5524"/>
      <w:bookmarkStart w:id="199" w:name="_Toc312058565"/>
      <w:bookmarkStart w:id="200" w:name="_Toc311743866"/>
      <w:bookmarkStart w:id="201" w:name="_Toc315953473"/>
      <w:bookmarkStart w:id="202" w:name="_Toc10448173"/>
      <w:bookmarkStart w:id="203" w:name="_Toc312058604"/>
      <w:bookmarkStart w:id="204" w:name="_Toc311705336"/>
      <w:bookmarkStart w:id="205" w:name="_Toc9461598"/>
      <w:bookmarkStart w:id="206" w:name="_Toc315966974"/>
      <w:bookmarkStart w:id="207" w:name="_Toc317597305"/>
      <w:bookmarkStart w:id="208" w:name="_Toc311705225"/>
      <w:bookmarkStart w:id="209" w:name="_Toc315953587"/>
      <w:bookmarkStart w:id="210" w:name="_Toc9206296"/>
      <w:bookmarkStart w:id="211" w:name="_Toc10449959"/>
      <w:bookmarkStart w:id="212" w:name="_Toc31034"/>
      <w:bookmarkStart w:id="213" w:name="_Toc312063238"/>
      <w:bookmarkStart w:id="214" w:name="_Toc10449381"/>
      <w:bookmarkStart w:id="215" w:name="_Toc311745436"/>
      <w:bookmarkStart w:id="216" w:name="_Toc11640"/>
      <w:bookmarkStart w:id="217" w:name="_Toc17752"/>
      <w:bookmarkStart w:id="218" w:name="_Toc10395655"/>
      <w:bookmarkStart w:id="219" w:name="_Toc311493695"/>
      <w:bookmarkStart w:id="220" w:name="_Toc10449824"/>
      <w:bookmarkStart w:id="221" w:name="_Toc311494304"/>
      <w:bookmarkStart w:id="222" w:name="_Toc9206520"/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术语和定义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>
        <w:rPr>
          <w:rFonts w:hint="eastAsia"/>
          <w:sz w:val="24"/>
          <w:szCs w:val="24"/>
        </w:rPr>
        <w:t xml:space="preserve"> </w:t>
      </w:r>
    </w:p>
    <w:p>
      <w:pPr>
        <w:pStyle w:val="14"/>
        <w:ind w:firstLine="480" w:firstLineChars="0"/>
        <w:rPr>
          <w:rFonts w:hAnsi="宋体"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××× ×××</w:t>
      </w:r>
      <w:r>
        <w:rPr>
          <w:rFonts w:hint="eastAsia" w:hAnsi="宋体"/>
          <w:sz w:val="24"/>
          <w:szCs w:val="24"/>
        </w:rPr>
        <w:t>界定的以及下列术语和</w:t>
      </w:r>
      <w:r>
        <w:rPr>
          <w:rFonts w:hAnsi="宋体"/>
          <w:sz w:val="24"/>
          <w:szCs w:val="24"/>
        </w:rPr>
        <w:t>定义</w:t>
      </w:r>
      <w:r>
        <w:rPr>
          <w:rFonts w:hint="eastAsia" w:hAnsi="宋体"/>
          <w:sz w:val="24"/>
          <w:szCs w:val="24"/>
        </w:rPr>
        <w:t>适用于本标准。</w:t>
      </w:r>
      <w:r>
        <w:rPr>
          <w:rFonts w:hAnsi="宋体"/>
          <w:sz w:val="24"/>
          <w:szCs w:val="24"/>
        </w:rPr>
        <w:t xml:space="preserve"> 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示例：</w:t>
      </w:r>
    </w:p>
    <w:p>
      <w:pPr>
        <w:pStyle w:val="14"/>
        <w:ind w:firstLine="480" w:firstLineChars="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GB/T 18354-2006界定的以及下列术语适用于本</w:t>
      </w:r>
      <w:r>
        <w:rPr>
          <w:rFonts w:hint="eastAsia" w:hAnsi="宋体"/>
          <w:sz w:val="24"/>
          <w:szCs w:val="24"/>
        </w:rPr>
        <w:t>标准</w:t>
      </w:r>
      <w:r>
        <w:rPr>
          <w:rFonts w:hAnsi="宋体"/>
          <w:sz w:val="24"/>
          <w:szCs w:val="24"/>
        </w:rPr>
        <w:t>。</w:t>
      </w:r>
    </w:p>
    <w:p>
      <w:pPr>
        <w:pStyle w:val="17"/>
        <w:numPr>
          <w:ilvl w:val="1"/>
          <w:numId w:val="0"/>
        </w:numPr>
        <w:spacing w:beforeLines="0" w:afterLines="0"/>
        <w:rPr>
          <w:rFonts w:hAnsi="宋体" w:eastAsia="宋体"/>
          <w:bCs/>
          <w:sz w:val="24"/>
          <w:szCs w:val="24"/>
        </w:rPr>
      </w:pPr>
      <w:bookmarkStart w:id="223" w:name="_Toc9461599"/>
      <w:bookmarkStart w:id="224" w:name="_Toc9206297"/>
      <w:bookmarkStart w:id="225" w:name="_Toc9206521"/>
      <w:bookmarkStart w:id="226" w:name="_Toc10448174"/>
      <w:bookmarkStart w:id="227" w:name="_Toc10395656"/>
      <w:bookmarkStart w:id="228" w:name="_Toc10449382"/>
      <w:bookmarkStart w:id="229" w:name="_Toc10449960"/>
      <w:bookmarkStart w:id="230" w:name="_Toc10449825"/>
      <w:bookmarkStart w:id="231" w:name="_Toc26928"/>
      <w:bookmarkStart w:id="232" w:name="_Toc18515"/>
      <w:r>
        <w:rPr>
          <w:sz w:val="24"/>
          <w:szCs w:val="24"/>
        </w:rPr>
        <w:t xml:space="preserve">3.1 </w:t>
      </w:r>
      <w:bookmarkEnd w:id="223"/>
      <w:bookmarkEnd w:id="224"/>
      <w:bookmarkEnd w:id="225"/>
      <w:r>
        <w:rPr>
          <w:sz w:val="24"/>
          <w:szCs w:val="24"/>
        </w:rPr>
        <w:t xml:space="preserve"> </w:t>
      </w:r>
      <w:r>
        <w:rPr>
          <w:rFonts w:hint="eastAsia" w:hAnsi="宋体" w:eastAsia="宋体"/>
          <w:bCs/>
          <w:sz w:val="24"/>
          <w:szCs w:val="24"/>
        </w:rPr>
        <w:t>×××</w:t>
      </w:r>
      <w:bookmarkEnd w:id="226"/>
      <w:bookmarkEnd w:id="227"/>
      <w:bookmarkEnd w:id="228"/>
      <w:bookmarkEnd w:id="229"/>
      <w:bookmarkEnd w:id="230"/>
      <w:bookmarkEnd w:id="231"/>
      <w:bookmarkEnd w:id="232"/>
      <w:bookmarkStart w:id="233" w:name="_Toc10449961"/>
      <w:bookmarkStart w:id="234" w:name="_Toc10395657"/>
      <w:bookmarkStart w:id="235" w:name="_Toc10448175"/>
      <w:bookmarkStart w:id="236" w:name="_Toc10449383"/>
      <w:bookmarkStart w:id="237" w:name="_Toc10449826"/>
    </w:p>
    <w:p>
      <w:pPr>
        <w:pStyle w:val="17"/>
        <w:numPr>
          <w:ilvl w:val="1"/>
          <w:numId w:val="0"/>
        </w:numPr>
        <w:spacing w:beforeLines="0" w:afterLines="0"/>
        <w:rPr>
          <w:rFonts w:hAnsi="宋体" w:eastAsia="宋体"/>
          <w:bCs/>
          <w:sz w:val="24"/>
          <w:szCs w:val="24"/>
        </w:rPr>
      </w:pPr>
      <w:bookmarkStart w:id="238" w:name="_Toc28853"/>
      <w:bookmarkStart w:id="239" w:name="_Toc1051"/>
      <w:r>
        <w:rPr>
          <w:rFonts w:hint="eastAsia" w:hAnsi="宋体" w:eastAsia="宋体"/>
          <w:bCs/>
          <w:sz w:val="24"/>
          <w:szCs w:val="24"/>
        </w:rPr>
        <w:t>3</w:t>
      </w:r>
      <w:r>
        <w:rPr>
          <w:rFonts w:hAnsi="宋体" w:eastAsia="宋体"/>
          <w:bCs/>
          <w:sz w:val="24"/>
          <w:szCs w:val="24"/>
        </w:rPr>
        <w:t xml:space="preserve">.2  </w:t>
      </w:r>
      <w:r>
        <w:rPr>
          <w:rFonts w:hint="eastAsia" w:hAnsi="宋体" w:eastAsia="宋体"/>
          <w:bCs/>
          <w:sz w:val="24"/>
          <w:szCs w:val="24"/>
        </w:rPr>
        <w:t>×××</w:t>
      </w:r>
      <w:bookmarkEnd w:id="233"/>
      <w:bookmarkEnd w:id="234"/>
      <w:bookmarkEnd w:id="235"/>
      <w:bookmarkEnd w:id="236"/>
      <w:bookmarkEnd w:id="237"/>
      <w:bookmarkEnd w:id="238"/>
      <w:bookmarkEnd w:id="239"/>
    </w:p>
    <w:p>
      <w:pPr>
        <w:pStyle w:val="14"/>
        <w:ind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……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示例：</w:t>
      </w:r>
    </w:p>
    <w:p>
      <w:pPr>
        <w:pStyle w:val="17"/>
        <w:numPr>
          <w:ilvl w:val="1"/>
          <w:numId w:val="0"/>
        </w:numPr>
        <w:spacing w:beforeLines="0" w:afterLines="0"/>
        <w:rPr>
          <w:sz w:val="24"/>
          <w:szCs w:val="24"/>
        </w:rPr>
      </w:pPr>
      <w:bookmarkStart w:id="240" w:name="_Toc20556"/>
      <w:bookmarkStart w:id="241" w:name="_Toc4425"/>
      <w:r>
        <w:rPr>
          <w:sz w:val="24"/>
          <w:szCs w:val="24"/>
        </w:rPr>
        <w:t>3.5</w:t>
      </w:r>
      <w:bookmarkEnd w:id="240"/>
      <w:bookmarkEnd w:id="241"/>
    </w:p>
    <w:p>
      <w:pPr>
        <w:pStyle w:val="14"/>
        <w:ind w:firstLine="482"/>
        <w:outlineLvl w:val="1"/>
        <w:rPr>
          <w:rFonts w:hAnsi="宋体"/>
          <w:b/>
          <w:bCs/>
          <w:sz w:val="24"/>
          <w:szCs w:val="24"/>
        </w:rPr>
      </w:pPr>
      <w:bookmarkStart w:id="242" w:name="_Toc3989"/>
      <w:bookmarkStart w:id="243" w:name="_Toc17422"/>
      <w:r>
        <w:rPr>
          <w:rFonts w:hint="eastAsia" w:hAnsi="宋体"/>
          <w:b/>
          <w:bCs/>
          <w:sz w:val="24"/>
          <w:szCs w:val="24"/>
        </w:rPr>
        <w:t>仓储</w:t>
      </w:r>
      <w:r>
        <w:rPr>
          <w:rFonts w:hAnsi="宋体"/>
          <w:b/>
          <w:bCs/>
          <w:sz w:val="24"/>
          <w:szCs w:val="24"/>
        </w:rPr>
        <w:t xml:space="preserve"> warehousing</w:t>
      </w:r>
      <w:bookmarkEnd w:id="242"/>
      <w:bookmarkEnd w:id="243"/>
    </w:p>
    <w:p>
      <w:pPr>
        <w:pStyle w:val="14"/>
        <w:ind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利用仓库及相关设施设备进行物品的入库、存贮、出库的活动。</w:t>
      </w:r>
    </w:p>
    <w:p>
      <w:pPr>
        <w:pStyle w:val="14"/>
        <w:ind w:firstLine="482" w:firstLineChars="0"/>
        <w:outlineLvl w:val="1"/>
        <w:rPr>
          <w:rFonts w:hAnsi="宋体" w:cs="黑体"/>
          <w:b/>
          <w:bCs/>
          <w:kern w:val="2"/>
          <w:sz w:val="24"/>
          <w:szCs w:val="24"/>
        </w:rPr>
      </w:pPr>
      <w:r>
        <w:rPr>
          <w:rFonts w:hAnsi="宋体" w:cs="黑体"/>
          <w:b/>
          <w:bCs/>
          <w:kern w:val="2"/>
          <w:sz w:val="24"/>
          <w:szCs w:val="24"/>
        </w:rPr>
        <w:t xml:space="preserve"> </w:t>
      </w:r>
      <w:bookmarkStart w:id="244" w:name="_Toc9289"/>
      <w:bookmarkStart w:id="245" w:name="_Toc6905"/>
      <w:r>
        <w:rPr>
          <w:rFonts w:hAnsi="宋体" w:cs="黑体"/>
          <w:b/>
          <w:bCs/>
          <w:kern w:val="2"/>
          <w:sz w:val="24"/>
          <w:szCs w:val="24"/>
        </w:rPr>
        <w:t>[GB/T18354-2006，定义 3.12]</w:t>
      </w:r>
      <w:bookmarkEnd w:id="244"/>
      <w:bookmarkEnd w:id="245"/>
      <w:bookmarkStart w:id="246" w:name="_Toc317597309"/>
      <w:bookmarkEnd w:id="246"/>
      <w:bookmarkStart w:id="247" w:name="_Toc9206523"/>
      <w:bookmarkStart w:id="248" w:name="_Toc10449384"/>
      <w:bookmarkStart w:id="249" w:name="_Toc10449827"/>
      <w:bookmarkStart w:id="250" w:name="_Toc10395658"/>
      <w:bookmarkStart w:id="251" w:name="_Toc10449962"/>
      <w:bookmarkStart w:id="252" w:name="_Toc9206299"/>
      <w:bookmarkStart w:id="253" w:name="_Toc9461601"/>
      <w:bookmarkStart w:id="254" w:name="_Toc10448176"/>
    </w:p>
    <w:p>
      <w:pPr>
        <w:pStyle w:val="16"/>
        <w:numPr>
          <w:ilvl w:val="0"/>
          <w:numId w:val="0"/>
        </w:numPr>
        <w:spacing w:beforeLines="0" w:afterLines="0"/>
        <w:outlineLvl w:val="0"/>
        <w:rPr>
          <w:sz w:val="24"/>
          <w:szCs w:val="24"/>
        </w:rPr>
      </w:pPr>
      <w:bookmarkStart w:id="255" w:name="_Toc18244"/>
      <w:bookmarkStart w:id="256" w:name="_Toc26358"/>
      <w:bookmarkStart w:id="257" w:name="_Toc3604"/>
      <w:bookmarkStart w:id="258" w:name="_Toc26709"/>
      <w:r>
        <w:rPr>
          <w:rFonts w:hint="eastAsia"/>
          <w:sz w:val="24"/>
          <w:szCs w:val="24"/>
        </w:rPr>
        <w:t xml:space="preserve">4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适用院校专业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>
      <w:pPr>
        <w:ind w:firstLine="480" w:firstLineChars="200"/>
        <w:rPr>
          <w:rFonts w:hAnsi="仿宋"/>
          <w:bCs/>
          <w:sz w:val="24"/>
          <w:szCs w:val="24"/>
        </w:rPr>
      </w:pPr>
      <w:r>
        <w:rPr>
          <w:rFonts w:hint="eastAsia" w:hAnsi="仿宋"/>
          <w:bCs/>
          <w:sz w:val="24"/>
          <w:szCs w:val="24"/>
        </w:rPr>
        <w:t>×××××××××××××××××××××××××××××××××××××××××××××××××××。</w:t>
      </w:r>
    </w:p>
    <w:p>
      <w:pPr>
        <w:pStyle w:val="16"/>
        <w:numPr>
          <w:ilvl w:val="0"/>
          <w:numId w:val="0"/>
        </w:numPr>
        <w:spacing w:beforeLines="0" w:afterLines="0"/>
        <w:outlineLvl w:val="0"/>
        <w:rPr>
          <w:sz w:val="24"/>
          <w:szCs w:val="24"/>
        </w:rPr>
      </w:pPr>
      <w:bookmarkStart w:id="259" w:name="_Toc10395659"/>
      <w:bookmarkStart w:id="260" w:name="_Toc10448177"/>
      <w:bookmarkStart w:id="261" w:name="_Toc9461602"/>
      <w:bookmarkStart w:id="262" w:name="_Toc9206524"/>
      <w:bookmarkStart w:id="263" w:name="_Toc10449385"/>
      <w:bookmarkStart w:id="264" w:name="_Toc9206300"/>
      <w:bookmarkStart w:id="265" w:name="_Toc10449963"/>
      <w:bookmarkStart w:id="266" w:name="_Toc10449828"/>
      <w:bookmarkStart w:id="267" w:name="_Toc8352"/>
      <w:bookmarkStart w:id="268" w:name="_Toc22022"/>
      <w:bookmarkStart w:id="269" w:name="_Toc25052"/>
      <w:bookmarkStart w:id="270" w:name="_Toc17125"/>
      <w:r>
        <w:rPr>
          <w:rFonts w:hint="eastAsia" w:ascii="Times New Roman" w:eastAsia="宋体"/>
          <w:kern w:val="2"/>
          <w:sz w:val="24"/>
          <w:szCs w:val="24"/>
        </w:rPr>
        <w:t xml:space="preserve">5 </w:t>
      </w:r>
      <w:r>
        <w:rPr>
          <w:rFonts w:ascii="Times New Roman" w:eastAsia="宋体"/>
          <w:kern w:val="2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面向职业岗位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r>
        <w:rPr>
          <w:rFonts w:hint="eastAsia"/>
          <w:sz w:val="24"/>
          <w:szCs w:val="24"/>
        </w:rPr>
        <w:t>（群）</w:t>
      </w:r>
      <w:bookmarkEnd w:id="267"/>
      <w:bookmarkEnd w:id="268"/>
      <w:bookmarkEnd w:id="269"/>
      <w:bookmarkEnd w:id="270"/>
    </w:p>
    <w:p>
      <w:pPr>
        <w:ind w:firstLine="480" w:firstLineChars="200"/>
        <w:rPr>
          <w:rFonts w:hAnsi="仿宋"/>
          <w:bCs/>
          <w:sz w:val="24"/>
          <w:szCs w:val="24"/>
        </w:rPr>
      </w:pPr>
      <w:r>
        <w:rPr>
          <w:rFonts w:hint="eastAsia" w:hAnsi="仿宋"/>
          <w:bCs/>
          <w:sz w:val="24"/>
          <w:szCs w:val="24"/>
        </w:rPr>
        <w:t>×××××××××××××××××××××××××××××××××××××××××××××××××××××××。</w:t>
      </w:r>
    </w:p>
    <w:p>
      <w:pPr>
        <w:pStyle w:val="16"/>
        <w:numPr>
          <w:ilvl w:val="0"/>
          <w:numId w:val="0"/>
        </w:numPr>
        <w:spacing w:beforeLines="0" w:afterLines="0"/>
        <w:outlineLvl w:val="0"/>
        <w:rPr>
          <w:sz w:val="24"/>
          <w:szCs w:val="24"/>
        </w:rPr>
      </w:pPr>
      <w:bookmarkStart w:id="271" w:name="_Toc10395660"/>
      <w:bookmarkStart w:id="272" w:name="_Toc9206301"/>
      <w:bookmarkStart w:id="273" w:name="_Toc9206525"/>
      <w:bookmarkStart w:id="274" w:name="_Toc24876"/>
      <w:bookmarkStart w:id="275" w:name="_Toc4814"/>
      <w:bookmarkStart w:id="276" w:name="_Toc10449964"/>
      <w:bookmarkStart w:id="277" w:name="_Toc10449829"/>
      <w:bookmarkStart w:id="278" w:name="_Toc22818"/>
      <w:bookmarkStart w:id="279" w:name="_Toc10448178"/>
      <w:bookmarkStart w:id="280" w:name="_Toc30604"/>
      <w:bookmarkStart w:id="281" w:name="_Toc9461603"/>
      <w:bookmarkStart w:id="282" w:name="_Toc10449386"/>
      <w:r>
        <w:rPr>
          <w:rFonts w:hint="eastAsia"/>
          <w:sz w:val="24"/>
          <w:szCs w:val="24"/>
        </w:rPr>
        <w:t>6  职业技能要求</w:t>
      </w:r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>
      <w:pPr>
        <w:pStyle w:val="16"/>
        <w:numPr>
          <w:ilvl w:val="0"/>
          <w:numId w:val="0"/>
        </w:numPr>
        <w:spacing w:beforeLines="0" w:afterLines="0"/>
        <w:rPr>
          <w:sz w:val="24"/>
          <w:szCs w:val="24"/>
        </w:rPr>
      </w:pPr>
      <w:bookmarkStart w:id="283" w:name="_Toc9461604"/>
      <w:bookmarkStart w:id="284" w:name="_Toc9027"/>
      <w:bookmarkStart w:id="285" w:name="_Toc9206302"/>
      <w:bookmarkStart w:id="286" w:name="_Toc11633"/>
      <w:bookmarkStart w:id="287" w:name="_Toc10449965"/>
      <w:bookmarkStart w:id="288" w:name="_Toc10449387"/>
      <w:bookmarkStart w:id="289" w:name="_Toc10449830"/>
      <w:bookmarkStart w:id="290" w:name="_Toc9206526"/>
      <w:bookmarkStart w:id="291" w:name="_Toc10448179"/>
      <w:bookmarkStart w:id="292" w:name="_Toc10395661"/>
      <w:r>
        <w:rPr>
          <w:rFonts w:hint="eastAsia"/>
          <w:sz w:val="24"/>
          <w:szCs w:val="24"/>
        </w:rPr>
        <w:t>6.1  职业技能等级划分</w:t>
      </w:r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p>
      <w:pPr>
        <w:pStyle w:val="14"/>
        <w:ind w:firstLine="480"/>
        <w:rPr>
          <w:rFonts w:ascii="Times New Roman"/>
          <w:sz w:val="24"/>
          <w:szCs w:val="24"/>
        </w:rPr>
      </w:pPr>
      <w:bookmarkStart w:id="293" w:name="_Toc9461605"/>
      <w:bookmarkStart w:id="294" w:name="_Toc9206527"/>
      <w:bookmarkStart w:id="295" w:name="_Toc9206303"/>
      <w:r>
        <w:rPr>
          <w:rFonts w:hint="eastAsia" w:hAnsi="宋体"/>
          <w:bCs/>
          <w:sz w:val="24"/>
          <w:szCs w:val="24"/>
        </w:rPr>
        <w:t>×××××××</w:t>
      </w:r>
      <w:r>
        <w:rPr>
          <w:rFonts w:hint="eastAsia" w:ascii="Times New Roman"/>
          <w:sz w:val="24"/>
          <w:szCs w:val="24"/>
        </w:rPr>
        <w:t>职业技能等级分为三个等级：初级、中级、高级</w:t>
      </w:r>
      <w:bookmarkEnd w:id="293"/>
      <w:bookmarkEnd w:id="294"/>
      <w:bookmarkEnd w:id="295"/>
      <w:r>
        <w:rPr>
          <w:rFonts w:hint="eastAsia" w:ascii="Times New Roman"/>
          <w:sz w:val="24"/>
          <w:szCs w:val="24"/>
        </w:rPr>
        <w:t>，三个级别依次递进，高级别涵盖低级别职业技能要求。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【职业技能名称】（初级）：</w:t>
      </w:r>
      <w:r>
        <w:rPr>
          <w:rFonts w:hint="eastAsia" w:hAnsi="宋体"/>
          <w:bCs/>
          <w:sz w:val="24"/>
          <w:szCs w:val="24"/>
        </w:rPr>
        <w:t>×××××××××××××××××××××××××××××××××××××××××××××××××××。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【职业技能名称】（中级）：</w:t>
      </w:r>
      <w:r>
        <w:rPr>
          <w:rFonts w:hint="eastAsia" w:hAnsi="宋体"/>
          <w:bCs/>
          <w:sz w:val="24"/>
          <w:szCs w:val="24"/>
        </w:rPr>
        <w:t>×××××××××××××××××××××××××××××××××××××××××××××××××××。</w:t>
      </w:r>
    </w:p>
    <w:p>
      <w:pPr>
        <w:ind w:firstLine="480" w:firstLineChars="200"/>
        <w:jc w:val="left"/>
        <w:rPr>
          <w:rFonts w:hAnsi="宋体"/>
          <w:bCs/>
          <w:sz w:val="24"/>
          <w:szCs w:val="24"/>
        </w:rPr>
      </w:pPr>
      <w:r>
        <w:rPr>
          <w:rFonts w:hint="eastAsia"/>
          <w:sz w:val="24"/>
          <w:szCs w:val="24"/>
        </w:rPr>
        <w:t>【职业技能名称】（高级）：</w:t>
      </w:r>
      <w:bookmarkStart w:id="296" w:name="_Toc9206304"/>
      <w:bookmarkStart w:id="297" w:name="_Toc9206528"/>
      <w:bookmarkStart w:id="298" w:name="_Toc9461606"/>
      <w:r>
        <w:rPr>
          <w:rFonts w:hint="eastAsia" w:hAnsi="宋体"/>
          <w:bCs/>
          <w:sz w:val="24"/>
          <w:szCs w:val="24"/>
        </w:rPr>
        <w:t>×××××××××××××××××××××××××××××××××××××××××××××××××××。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撰写格式可参照但不限于以下示例。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示例一：</w:t>
      </w:r>
    </w:p>
    <w:p>
      <w:pPr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【</w:t>
      </w:r>
      <w:r>
        <w:rPr>
          <w:rFonts w:hAnsi="宋体"/>
          <w:bCs/>
          <w:sz w:val="24"/>
          <w:szCs w:val="24"/>
        </w:rPr>
        <w:t>Web前端开发】（初级）：</w:t>
      </w:r>
      <w:r>
        <w:rPr>
          <w:rFonts w:hint="eastAsia" w:hAnsi="宋体"/>
          <w:bCs/>
          <w:sz w:val="24"/>
          <w:szCs w:val="24"/>
        </w:rPr>
        <w:t>主要面向各企事业单位、政府部门等的信息化数字化部门，从事静态网页制作、响应式页面搭建等工作，根据视觉和交互原型要求实现网站页面和交互效果。</w:t>
      </w:r>
    </w:p>
    <w:p>
      <w:pPr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【</w:t>
      </w:r>
      <w:r>
        <w:rPr>
          <w:rFonts w:hAnsi="宋体"/>
          <w:bCs/>
          <w:sz w:val="24"/>
          <w:szCs w:val="24"/>
        </w:rPr>
        <w:t>Web前端开发】（中级）：</w:t>
      </w:r>
      <w:r>
        <w:rPr>
          <w:rFonts w:hint="eastAsia" w:hAnsi="宋体"/>
          <w:bCs/>
          <w:sz w:val="24"/>
          <w:szCs w:val="24"/>
        </w:rPr>
        <w:t>主要面向</w:t>
      </w:r>
      <w:r>
        <w:rPr>
          <w:rFonts w:hAnsi="宋体"/>
          <w:bCs/>
          <w:sz w:val="24"/>
          <w:szCs w:val="24"/>
        </w:rPr>
        <w:t>IT互联网企业、互联网转型的传统型企事业单位、政府部门等的软件研发、软件测试、系统运维部门，从事网站规划与建设、网站开发与维护、关系型数据库开发管理等工作，根据网站开发需求，编制并实施解决方案。</w:t>
      </w:r>
    </w:p>
    <w:p>
      <w:pPr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【</w:t>
      </w:r>
      <w:r>
        <w:rPr>
          <w:rFonts w:hAnsi="宋体"/>
          <w:bCs/>
          <w:sz w:val="24"/>
          <w:szCs w:val="24"/>
        </w:rPr>
        <w:t>Web前端开发】（高级）：</w:t>
      </w:r>
      <w:r>
        <w:rPr>
          <w:rFonts w:hint="eastAsia" w:hAnsi="宋体"/>
          <w:sz w:val="24"/>
          <w:szCs w:val="24"/>
        </w:rPr>
        <w:t>主要面向IT互联网企业、互联网转型的传统型企事业单位、政府部门等的软件研发、软件测试、系统运维部门，从事前端架构设计、移动端项目开发、智能设备前端开发、组件和类库编写等工作，根据网站开发需求，进行架构设计并管理实施解决方案。</w:t>
      </w:r>
    </w:p>
    <w:p>
      <w:pPr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示例二：</w:t>
      </w:r>
    </w:p>
    <w:p>
      <w:pPr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【物流管理】（初级）：根据作业流程的规定，完成仓储、运输、信息处理、物流系统的使用和维护等作业。</w:t>
      </w:r>
    </w:p>
    <w:p>
      <w:pPr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【物流管理】（中级）：根据业务管理的要求，对物流仓储、运输、信息处理、客户服务、外协资源管理、物流系统的使用和维护的运作实施监督和指导。</w:t>
      </w:r>
    </w:p>
    <w:p>
      <w:pPr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【物流管理】（高级）：</w:t>
      </w:r>
      <w:r>
        <w:rPr>
          <w:rFonts w:hint="eastAsia" w:hAnsi="宋体"/>
          <w:sz w:val="24"/>
          <w:szCs w:val="24"/>
        </w:rPr>
        <w:t>根据业务的需求，对物流仓储、运输、信息管理、客户服务、外协资源管理物流系统运营等资源和流程进行管理和优化。</w:t>
      </w:r>
    </w:p>
    <w:p>
      <w:pPr>
        <w:pStyle w:val="16"/>
        <w:numPr>
          <w:ilvl w:val="0"/>
          <w:numId w:val="0"/>
        </w:numPr>
        <w:spacing w:beforeLines="0" w:afterLines="0"/>
        <w:rPr>
          <w:sz w:val="24"/>
          <w:szCs w:val="24"/>
        </w:rPr>
      </w:pPr>
      <w:bookmarkStart w:id="299" w:name="_Toc16132"/>
      <w:bookmarkStart w:id="300" w:name="_Toc31603"/>
      <w:r>
        <w:rPr>
          <w:rFonts w:hint="eastAsia"/>
          <w:sz w:val="24"/>
          <w:szCs w:val="24"/>
        </w:rPr>
        <w:t>6.2  职业技能等级要求描述</w:t>
      </w:r>
      <w:bookmarkEnd w:id="296"/>
      <w:bookmarkEnd w:id="297"/>
      <w:bookmarkEnd w:id="298"/>
      <w:bookmarkEnd w:id="299"/>
      <w:bookmarkEnd w:id="300"/>
    </w:p>
    <w:p>
      <w:pPr>
        <w:snapToGrid w:val="0"/>
        <w:spacing w:line="600" w:lineRule="exact"/>
        <w:jc w:val="center"/>
        <w:rPr>
          <w:rFonts w:ascii="宋体" w:hAnsi="宋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表1 ×××××××职业技能等级要求（初级）</w:t>
      </w:r>
    </w:p>
    <w:tbl>
      <w:tblPr>
        <w:tblStyle w:val="10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2212"/>
        <w:gridCol w:w="4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工作领域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职业技能要求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31" w:type="dxa"/>
            <w:vMerge w:val="restart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1.1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</w:t>
            </w:r>
          </w:p>
        </w:tc>
        <w:tc>
          <w:tcPr>
            <w:tcW w:w="4865" w:type="dxa"/>
            <w:vAlign w:val="center"/>
          </w:tcPr>
          <w:p>
            <w:pPr>
              <w:snapToGrid w:val="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1.1.1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1.1.2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1.1.3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31" w:type="dxa"/>
            <w:vMerge w:val="continue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1.2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1.2.1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1.2.2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31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31" w:type="dxa"/>
            <w:vAlign w:val="center"/>
          </w:tcPr>
          <w:p>
            <w:pPr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……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</w:tr>
    </w:tbl>
    <w:p>
      <w:pPr>
        <w:snapToGrid w:val="0"/>
        <w:spacing w:line="600" w:lineRule="exact"/>
        <w:jc w:val="center"/>
        <w:rPr>
          <w:rFonts w:ascii="黑体" w:hAnsi="黑体" w:eastAsia="黑体"/>
          <w:sz w:val="24"/>
          <w:szCs w:val="24"/>
        </w:rPr>
      </w:pPr>
      <w:bookmarkStart w:id="301" w:name="_Toc10395662"/>
      <w:bookmarkStart w:id="302" w:name="_Toc9206529"/>
      <w:bookmarkStart w:id="303" w:name="_Toc9206305"/>
      <w:bookmarkStart w:id="304" w:name="_Toc9461607"/>
      <w:bookmarkStart w:id="305" w:name="_Toc10449966"/>
      <w:bookmarkStart w:id="306" w:name="_Toc10448180"/>
      <w:bookmarkStart w:id="307" w:name="_Toc10449388"/>
      <w:bookmarkStart w:id="308" w:name="_Toc10449831"/>
    </w:p>
    <w:p>
      <w:pPr>
        <w:snapToGrid w:val="0"/>
        <w:spacing w:line="600" w:lineRule="exact"/>
        <w:jc w:val="center"/>
        <w:rPr>
          <w:rFonts w:ascii="宋体" w:hAnsi="宋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表</w:t>
      </w:r>
      <w:r>
        <w:rPr>
          <w:rFonts w:ascii="黑体" w:hAnsi="黑体" w:eastAsia="黑体"/>
          <w:sz w:val="24"/>
          <w:szCs w:val="24"/>
        </w:rPr>
        <w:t>2</w:t>
      </w:r>
      <w:r>
        <w:rPr>
          <w:rFonts w:hint="eastAsia" w:ascii="黑体" w:hAnsi="黑体" w:eastAsia="黑体"/>
          <w:sz w:val="24"/>
          <w:szCs w:val="24"/>
        </w:rPr>
        <w:t xml:space="preserve"> ×××××××职业技能等级要求（中级）</w:t>
      </w:r>
    </w:p>
    <w:tbl>
      <w:tblPr>
        <w:tblStyle w:val="10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2212"/>
        <w:gridCol w:w="4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工作领域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职业技能要求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31" w:type="dxa"/>
            <w:vMerge w:val="restart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1.1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napToGrid w:val="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1.1.1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1.1.2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1.1.3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31" w:type="dxa"/>
            <w:vMerge w:val="continue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1.2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1.2.1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1.2.2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31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31" w:type="dxa"/>
            <w:vAlign w:val="center"/>
          </w:tcPr>
          <w:p>
            <w:pPr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……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</w:tr>
    </w:tbl>
    <w:p>
      <w:pPr>
        <w:snapToGrid w:val="0"/>
        <w:spacing w:line="600" w:lineRule="exact"/>
        <w:jc w:val="center"/>
        <w:rPr>
          <w:rFonts w:ascii="黑体" w:hAnsi="黑体" w:eastAsia="黑体"/>
          <w:sz w:val="24"/>
          <w:szCs w:val="24"/>
        </w:rPr>
      </w:pPr>
    </w:p>
    <w:p>
      <w:pPr>
        <w:snapToGrid w:val="0"/>
        <w:spacing w:line="600" w:lineRule="exact"/>
        <w:jc w:val="center"/>
        <w:rPr>
          <w:rFonts w:ascii="宋体" w:hAnsi="宋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表</w:t>
      </w:r>
      <w:r>
        <w:rPr>
          <w:rFonts w:ascii="黑体" w:hAnsi="黑体" w:eastAsia="黑体"/>
          <w:sz w:val="24"/>
          <w:szCs w:val="24"/>
        </w:rPr>
        <w:t>3</w:t>
      </w:r>
      <w:r>
        <w:rPr>
          <w:rFonts w:hint="eastAsia" w:ascii="黑体" w:hAnsi="黑体" w:eastAsia="黑体"/>
          <w:sz w:val="24"/>
          <w:szCs w:val="24"/>
        </w:rPr>
        <w:t xml:space="preserve"> ×××××××职业技能等级要求（高级）</w:t>
      </w:r>
    </w:p>
    <w:tbl>
      <w:tblPr>
        <w:tblStyle w:val="10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2212"/>
        <w:gridCol w:w="4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工作领域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职业技能要求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31" w:type="dxa"/>
            <w:vMerge w:val="restart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1.1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</w:t>
            </w:r>
          </w:p>
        </w:tc>
        <w:tc>
          <w:tcPr>
            <w:tcW w:w="4865" w:type="dxa"/>
            <w:vAlign w:val="center"/>
          </w:tcPr>
          <w:p>
            <w:pPr>
              <w:snapToGrid w:val="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1.1.1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1.1.2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1.1.3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31" w:type="dxa"/>
            <w:vMerge w:val="continue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1.2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1.2.1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1.2.2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××××××××××××××××××××××××××××××。</w:t>
            </w:r>
          </w:p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31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hAnsi="宋体"/>
                <w:bCs/>
                <w:sz w:val="24"/>
                <w:szCs w:val="24"/>
              </w:rPr>
              <w:t>××××××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31" w:type="dxa"/>
            <w:vAlign w:val="center"/>
          </w:tcPr>
          <w:p>
            <w:pPr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……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napToGrid w:val="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4865" w:type="dxa"/>
            <w:vAlign w:val="center"/>
          </w:tcPr>
          <w:p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……</w:t>
            </w:r>
          </w:p>
        </w:tc>
      </w:tr>
    </w:tbl>
    <w:p>
      <w:pPr>
        <w:pStyle w:val="14"/>
        <w:ind w:firstLine="400"/>
      </w:pPr>
    </w:p>
    <w:p>
      <w:pPr>
        <w:pStyle w:val="14"/>
        <w:ind w:firstLine="400"/>
      </w:pPr>
    </w:p>
    <w:p>
      <w:pPr>
        <w:pStyle w:val="14"/>
        <w:ind w:firstLine="400"/>
      </w:pPr>
    </w:p>
    <w:p>
      <w:pPr>
        <w:pStyle w:val="14"/>
        <w:ind w:firstLine="400"/>
      </w:pPr>
    </w:p>
    <w:p>
      <w:pPr>
        <w:pStyle w:val="14"/>
        <w:ind w:firstLine="400"/>
      </w:pPr>
    </w:p>
    <w:p>
      <w:pPr>
        <w:pStyle w:val="14"/>
        <w:ind w:firstLine="400"/>
      </w:pPr>
    </w:p>
    <w:p>
      <w:pPr>
        <w:pStyle w:val="14"/>
        <w:ind w:firstLine="400"/>
      </w:pPr>
    </w:p>
    <w:p>
      <w:pPr>
        <w:pStyle w:val="14"/>
        <w:spacing w:line="360" w:lineRule="auto"/>
        <w:ind w:firstLine="0" w:firstLineChars="0"/>
        <w:jc w:val="center"/>
        <w:outlineLvl w:val="0"/>
        <w:rPr>
          <w:rFonts w:ascii="黑体" w:hAnsi="黑体" w:eastAsia="黑体"/>
          <w:sz w:val="32"/>
          <w:szCs w:val="32"/>
        </w:rPr>
      </w:pPr>
      <w:bookmarkStart w:id="309" w:name="_Toc1198"/>
      <w:bookmarkStart w:id="310" w:name="_Toc30538"/>
      <w:bookmarkStart w:id="311" w:name="_Toc23363"/>
      <w:bookmarkStart w:id="312" w:name="_Toc26176"/>
      <w:r>
        <w:rPr>
          <w:rFonts w:hint="eastAsia" w:ascii="黑体" w:hAnsi="黑体" w:eastAsia="黑体"/>
          <w:sz w:val="32"/>
          <w:szCs w:val="32"/>
        </w:rPr>
        <w:t>参考文献</w:t>
      </w:r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>
      <w:pPr>
        <w:pStyle w:val="14"/>
        <w:spacing w:line="600" w:lineRule="exact"/>
        <w:ind w:firstLine="480"/>
        <w:outlineLvl w:val="0"/>
        <w:rPr>
          <w:rFonts w:ascii="Times New Roman" w:hAnsi="等线"/>
          <w:sz w:val="24"/>
          <w:szCs w:val="24"/>
        </w:rPr>
      </w:pPr>
      <w:bookmarkStart w:id="313" w:name="_Toc16313"/>
      <w:bookmarkStart w:id="314" w:name="_Toc11302"/>
      <w:bookmarkStart w:id="315" w:name="_Toc7478"/>
      <w:bookmarkStart w:id="316" w:name="_Toc4981"/>
      <w:r>
        <w:rPr>
          <w:rFonts w:ascii="Times New Roman" w:hAnsi="等线"/>
          <w:sz w:val="24"/>
          <w:szCs w:val="24"/>
        </w:rPr>
        <w:t xml:space="preserve">[1] </w:t>
      </w:r>
      <w:r>
        <w:rPr>
          <w:rFonts w:hint="eastAsia" w:ascii="Times New Roman" w:hAnsi="等线"/>
          <w:sz w:val="24"/>
          <w:szCs w:val="24"/>
        </w:rPr>
        <w:t>×××××××</w:t>
      </w:r>
      <w:r>
        <w:rPr>
          <w:rFonts w:hint="eastAsia"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 </w:t>
      </w:r>
      <w:r>
        <w:rPr>
          <w:rFonts w:hint="eastAsia" w:ascii="Times New Roman" w:hAnsi="等线"/>
          <w:sz w:val="24"/>
          <w:szCs w:val="24"/>
        </w:rPr>
        <w:t>××××</w:t>
      </w:r>
      <w:bookmarkEnd w:id="313"/>
      <w:bookmarkEnd w:id="314"/>
      <w:bookmarkEnd w:id="315"/>
      <w:bookmarkEnd w:id="316"/>
    </w:p>
    <w:p>
      <w:pPr>
        <w:pStyle w:val="14"/>
        <w:spacing w:line="600" w:lineRule="exact"/>
        <w:ind w:firstLine="480"/>
        <w:outlineLvl w:val="0"/>
        <w:rPr>
          <w:rFonts w:ascii="Times New Roman" w:hAnsi="等线"/>
          <w:sz w:val="24"/>
          <w:szCs w:val="24"/>
        </w:rPr>
      </w:pPr>
      <w:bookmarkStart w:id="317" w:name="_Toc21876"/>
      <w:bookmarkStart w:id="318" w:name="_Toc9294"/>
      <w:bookmarkStart w:id="319" w:name="_Toc29120"/>
      <w:bookmarkStart w:id="320" w:name="_Toc25594"/>
      <w:r>
        <w:rPr>
          <w:rFonts w:ascii="Times New Roman" w:hAnsi="等线"/>
          <w:sz w:val="24"/>
          <w:szCs w:val="24"/>
        </w:rPr>
        <w:t xml:space="preserve">[2] </w:t>
      </w:r>
      <w:r>
        <w:rPr>
          <w:rFonts w:hint="eastAsia" w:ascii="Times New Roman" w:hAnsi="等线"/>
          <w:sz w:val="24"/>
          <w:szCs w:val="24"/>
        </w:rPr>
        <w:t>×××××××</w:t>
      </w:r>
      <w:r>
        <w:rPr>
          <w:rFonts w:hint="eastAsia"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 </w:t>
      </w:r>
      <w:r>
        <w:rPr>
          <w:rFonts w:hint="eastAsia" w:ascii="Times New Roman" w:hAnsi="等线"/>
          <w:sz w:val="24"/>
          <w:szCs w:val="24"/>
        </w:rPr>
        <w:t>××××</w:t>
      </w:r>
      <w:bookmarkEnd w:id="317"/>
      <w:bookmarkEnd w:id="318"/>
      <w:bookmarkEnd w:id="319"/>
      <w:bookmarkEnd w:id="320"/>
    </w:p>
    <w:p>
      <w:pPr>
        <w:pStyle w:val="14"/>
        <w:spacing w:line="600" w:lineRule="exact"/>
        <w:ind w:firstLine="480"/>
        <w:rPr>
          <w:rFonts w:ascii="Times New Roman" w:hAnsi="等线"/>
          <w:sz w:val="24"/>
          <w:szCs w:val="24"/>
        </w:rPr>
      </w:pPr>
      <w:r>
        <w:rPr>
          <w:rFonts w:hint="eastAsia" w:ascii="Times New Roman" w:hAnsi="等线"/>
          <w:sz w:val="24"/>
          <w:szCs w:val="24"/>
        </w:rPr>
        <w:t>……</w:t>
      </w:r>
    </w:p>
    <w:p>
      <w:pPr>
        <w:pStyle w:val="14"/>
        <w:spacing w:line="600" w:lineRule="exact"/>
        <w:ind w:firstLine="48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示例：</w:t>
      </w:r>
    </w:p>
    <w:p>
      <w:pPr>
        <w:pStyle w:val="14"/>
        <w:spacing w:line="600" w:lineRule="exact"/>
        <w:ind w:firstLine="480"/>
        <w:outlineLvl w:val="0"/>
        <w:rPr>
          <w:rFonts w:ascii="Times New Roman" w:hAnsi="等线"/>
          <w:sz w:val="24"/>
          <w:szCs w:val="24"/>
        </w:rPr>
      </w:pPr>
      <w:bookmarkStart w:id="321" w:name="_Toc7745"/>
      <w:bookmarkStart w:id="322" w:name="_Toc30983"/>
      <w:bookmarkStart w:id="323" w:name="_Toc32473"/>
      <w:bookmarkStart w:id="324" w:name="_Toc31019"/>
      <w:r>
        <w:rPr>
          <w:rFonts w:ascii="Times New Roman" w:hAnsi="等线"/>
          <w:sz w:val="24"/>
          <w:szCs w:val="24"/>
        </w:rPr>
        <w:t xml:space="preserve">[1]  GB 2894-1996  </w:t>
      </w:r>
      <w:r>
        <w:rPr>
          <w:rFonts w:hint="eastAsia" w:ascii="Times New Roman" w:hAnsi="等线"/>
          <w:sz w:val="24"/>
          <w:szCs w:val="24"/>
        </w:rPr>
        <w:t>安全标志</w:t>
      </w:r>
      <w:bookmarkEnd w:id="321"/>
      <w:bookmarkEnd w:id="322"/>
      <w:bookmarkEnd w:id="323"/>
      <w:bookmarkEnd w:id="324"/>
    </w:p>
    <w:p>
      <w:pPr>
        <w:pStyle w:val="14"/>
        <w:spacing w:line="600" w:lineRule="exact"/>
        <w:ind w:firstLine="480"/>
        <w:outlineLvl w:val="0"/>
        <w:rPr>
          <w:rFonts w:ascii="Times New Roman" w:hAnsi="等线"/>
          <w:sz w:val="24"/>
          <w:szCs w:val="24"/>
        </w:rPr>
      </w:pPr>
      <w:bookmarkStart w:id="325" w:name="_Toc1286"/>
      <w:bookmarkStart w:id="326" w:name="_Toc5938"/>
      <w:bookmarkStart w:id="327" w:name="_Toc2367"/>
      <w:bookmarkStart w:id="328" w:name="_Toc17778"/>
      <w:r>
        <w:rPr>
          <w:rFonts w:ascii="Times New Roman" w:hAnsi="等线"/>
          <w:sz w:val="24"/>
          <w:szCs w:val="24"/>
        </w:rPr>
        <w:t xml:space="preserve">[2]  GB/T 191-2008  </w:t>
      </w:r>
      <w:r>
        <w:rPr>
          <w:rFonts w:hint="eastAsia" w:ascii="Times New Roman" w:hAnsi="等线"/>
          <w:sz w:val="24"/>
          <w:szCs w:val="24"/>
        </w:rPr>
        <w:t>包装储运图示标志</w:t>
      </w:r>
      <w:bookmarkEnd w:id="325"/>
      <w:bookmarkEnd w:id="326"/>
      <w:bookmarkEnd w:id="327"/>
      <w:bookmarkEnd w:id="328"/>
    </w:p>
    <w:p>
      <w:pPr>
        <w:pStyle w:val="14"/>
        <w:spacing w:line="600" w:lineRule="exact"/>
        <w:ind w:firstLine="480"/>
        <w:rPr>
          <w:rFonts w:ascii="Times New Roman" w:hAnsi="等线"/>
          <w:sz w:val="24"/>
          <w:szCs w:val="24"/>
        </w:rPr>
      </w:pPr>
    </w:p>
    <w:p>
      <w:pPr>
        <w:overflowPunct w:val="0"/>
        <w:ind w:firstLine="640" w:firstLineChars="200"/>
        <w:rPr>
          <w:rFonts w:eastAsia="方正仿宋简体"/>
        </w:rPr>
      </w:pPr>
    </w:p>
    <w:sectPr>
      <w:footerReference r:id="rId8" w:type="first"/>
      <w:footerReference r:id="rId7" w:type="default"/>
      <w:pgSz w:w="11906" w:h="16838"/>
      <w:pgMar w:top="2098" w:right="1474" w:bottom="1985" w:left="1588" w:header="851" w:footer="397" w:gutter="0"/>
      <w:pgNumType w:start="1"/>
      <w:cols w:space="720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II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0Ow2Kc8AAAAD&#10;AQAADwAAAGRycy9kb3ducmV2LnhtbE2PMU/DMBCFdyT+g3VIbNRuBlqlcTpUYmGjICQ2N77GEfY5&#10;st00+fdcWWB50tM7vfdds5+DFxOmPETSsF4pEEhdtAP1Gj7eX562IHIxZI2PhBoWzLBv7+8aU9t4&#10;pTecjqUXXEK5NhpcKWMtZe4cBpNXcUTi7BxTMIVt6qVN5srlwctKqWcZzEC84MyIB4fd9/ESNGzm&#10;z4hjxgN+nacuuWHZ+tdF68eHtdqBKDiXv2O44TM6tMx0iheyWXgN/Ej51VtWsTtpqNQGZNvI/+zt&#10;D1BLAwQUAAAACACHTuJAJ0+WZOMBAADCAwAADgAAAGRycy9lMm9Eb2MueG1srVPbjtMwEH1H4h8s&#10;v9M0S1lQ1HS17KoIablp4QMmjtNYJB5r7DYpX8/YScoCb4gXa2zPHM85c7y9GftOnDR5g7aU+Wot&#10;hbYKa2MPpfz2df/ijRQ+gK2hQ6tLedZe3uyeP9sOrtBX2GJXaxIMYn0xuFK2Ibgiy7xqdQ9+hU5b&#10;vmyQegi8pUNWEwyM3nfZ1Xp9nQ1ItSNU2ns+vZ8u5S7hN41W4VPTeB1EV0ruLaSV0lrFNdttoTgQ&#10;uNaouQ34hy56MJYfvUDdQwBxJPMXVG8UoccmrBT2GTaNUTpxYDb5+g82jy04nbiwON5dZPL/D1Z9&#10;PH0mYepSbqSw0POIvhyhFrdEOIhN1GdwvuC0R8eJYXyLI885cfXuAdV3LyzetWAPOtW0GmruL4+V&#10;2ZPSCcdHkGr4gDU/BMeACWhsqI/isRyC0XlO58ts9BiE4sPX1zxuKRTf5C/zzeZVegCKpdaRD+80&#10;9iIGpSSefMKG04MPsRcolpT4lMW96bo0/c7+dsCJ04lO9pmrI5PY/EQjjNU4K1NhfWZOhJO1+Ctw&#10;0CL9kGJgW5XSsu+l6N5bViU6cAloCaolAKu4sJRBiim8C5NTj47MoWXcRfdbVm5vEq3Y2NTDrDcb&#10;JbGdTR2d+HSfsn59vd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0Ow2Kc8AAAADAQAADwAAAAAA&#10;AAABACAAAAAiAAAAZHJzL2Rvd25yZXYueG1sUEsBAhQAFAAAAAgAh07iQCdPlmTjAQAAwgMAAA4A&#10;AAAAAAAAAQAgAAAAH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II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Quad Arrow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sxxt8BAADFAwAADgAAAGRycy9lMm9Eb2MueG1srVNtj9MwDP6OxH+I&#10;8p21GwJN1brTcachpONNBz/ATdM2oo0jJ1s7fj1Ouu4O+Ib4EjmO/dh+/GR3Mw29OGnyBm0p16tc&#10;Cm0V1sa2pfz+7fBqK4UPYGvo0epSnrWXN/uXL3ajK/QGO+xrTYJBrC9GV8ouBFdkmVedHsCv0GnL&#10;jw3SAIGv1GY1wcjoQ59t8vxtNiLVjlBp79l7Pz/KfcJvGq3C56bxOoi+lNxbSCels4pntt9B0RK4&#10;zqhLG/APXQxgLBe9Qt1DAHEk8xfUYBShxyasFA4ZNo1ROs3A06zzP6Z57MDpNAuT492VJv//YNWn&#10;0xcSpi7layksDLyir0eoxS0RjuJN5Gd0vuCwR8eBYXqHE+85zerdA6ofXli868C2OuV0Gmrubx0z&#10;s2epM46PINX4EWsuBMeACWhqaIjkMR2C0XlP5+tu9BSEiiW3m+025yfFb8sl1oBiSXfkw3uNg4hG&#10;KYmXn+Dh9ODDHLqExGoWD6bv2Q9Fb39zMObs0UlBl+w4TOx/niRM1cS50VlhfeaxCGd18W9go0P6&#10;KcXIyiqlZelL0X+wTEwU4WLQYlSLAVZxYimDFLN5F2axHh2ZtmPchfpbJu9g0lhPPVwoZ60kYi66&#10;jmJ8fk9RT79v/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0Ssxxt8BAADF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Quad Arrow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6" o:spid="_x0000_s1026" o:spt="202" type="#_x0000_t202" style="position:absolute;left:0pt;margin-top:0pt;height:10.35pt;width:9.0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JyDEDTlAQAAwwMAAA4AAABkcnMvZTJvRG9jLnhtbK1T227bMAx9H7B/&#10;EPS+OE7TYjPiFF2LDAO6G7p9ACPLsTBbFCgldvb1o2Q767a3YS8CLZGHPIfHm9uha8VJkzdoS5kv&#10;llJoq7Ay9lDKb193r15L4QPYClq0upRn7eXt9uWLTe8KvcIG20qTYBDri96VsgnBFVnmVaM78At0&#10;2vJjjdRB4E86ZBVBz+hdm62Wy5usR6ocodLe8+3D+Ci3Cb+utQqf6trrINpS8mwhnZTOfTyz7QaK&#10;A4FrjJrGgH+YogNjuekF6gECiCOZv6A6owg91mGhsMuwro3SiQOzyZd/sHlqwOnEhcXx7iKT/3+w&#10;6uPpMwlTlXIlhYWOV/TlCJW4I8Je3ER9eucLTntynBiGtzjwnhNX7x5RfffC4n0D9qBTTaOh4vny&#10;WJk9Kx1xfATZ9x+w4kZwDJiAhpq6KB7LIRid93S+7EYPQajYMl+/ubqWQvFTfpWv19epAxRzsSMf&#10;3mnsRAxKSbz6BA6nRx/iMFDMKbGXxZ1p27T+1v52wYnjjU7+maojlTj9yCMM+2GSZo/VmUkRjt7i&#10;f4GDBumHFD37qpSWjS9F+96yLNGCc0BzsJ8DsIoLSxmkGMP7MFr16MgcGsadhb9j6XYm0YqDjTNM&#10;grNTEtvJ1dGKz79T1q9/b/s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Q+V+SdAAAAADAQAADwAA&#10;AAAAAAABACAAAAAiAAAAZHJzL2Rvd25yZXYueG1sUEsBAhQAFAAAAAgAh07iQJyDEDTlAQAAwwMA&#10;AA4AAAAAAAAAAQAgAAAAHw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W3Cd0BAADFAwAADgAAAGRycy9lMm9Eb2MueG1srVNNb9swDL0P2H8Q&#10;dF/s5DAERpyia5FhQPeFbj+AlmVbmC0KlBI7+/Wj5DjttlvRi0BR5CMf+bS7mYZenDR5g7aU61Uu&#10;hbYKa2PbUv78cXi3lcIHsDX0aHUpz9rLm/3bN7vRFXqDHfa1JsEg1hejK2UXgiuyzKtOD+BX6LTl&#10;xwZpgMBXarOaYGT0oc82ef4+G5FqR6i09+y9nx/lPuE3jVbha9N4HURfSu4tpJPSWcUz2++gaAlc&#10;Z9SlDXhBFwMYy0WvUPcQQBzJ/Ac1GEXosQkrhUOGTWOUThyYzTr/h81jB04nLjwc765j8q8Hq76c&#10;vpEwNe9OCgsDr+j7EWpxS4Sj2MT5jM4XHPboODBMH3CKsZGrdw+ofnlh8a4D2+qU02moub91zMye&#10;pc44PoJU42esuRAcAyagqaEhAvI4BKPzns7X3egpCBVLbjfbbc5Pit+WS6wBxZLuyIePGgcRjVIS&#10;Lz/Bw+nBhzl0CYnVLB5M37Mfit7+5WDM2aOTgi7ZkUzsf2YSpmri3OissD4zLcJZXfwb2OiQfksx&#10;srJKaVn6UvSfLA8minAxaDGqxQCrOLGUQYrZvAuzWI+OTNsx7jL6Wx7ewSRaTz1cRs5aSYO56DqK&#10;8fk9RT39vv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K5ltwndAQAAxQ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pPr>
        <w:ind w:left="2411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255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trackRevisions w:val="1"/>
  <w:documentProtection w:enforcement="0"/>
  <w:defaultTabStop w:val="420"/>
  <w:drawingGridHorizontalSpacing w:val="213"/>
  <w:drawingGridVerticalSpacing w:val="579"/>
  <w:displayHorizontalDrawingGridEvery w:val="0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80299"/>
    <w:rsid w:val="000754EE"/>
    <w:rsid w:val="0008668C"/>
    <w:rsid w:val="00097562"/>
    <w:rsid w:val="000B370F"/>
    <w:rsid w:val="000C7156"/>
    <w:rsid w:val="000D03BC"/>
    <w:rsid w:val="00102B58"/>
    <w:rsid w:val="001042BD"/>
    <w:rsid w:val="0012627A"/>
    <w:rsid w:val="0012724E"/>
    <w:rsid w:val="00195384"/>
    <w:rsid w:val="001B054C"/>
    <w:rsid w:val="001C4738"/>
    <w:rsid w:val="001F0700"/>
    <w:rsid w:val="002074FC"/>
    <w:rsid w:val="00235339"/>
    <w:rsid w:val="00242F0F"/>
    <w:rsid w:val="00245C8F"/>
    <w:rsid w:val="00267A54"/>
    <w:rsid w:val="0029156D"/>
    <w:rsid w:val="002B5E92"/>
    <w:rsid w:val="002C6C2B"/>
    <w:rsid w:val="002C6FEE"/>
    <w:rsid w:val="002D60D4"/>
    <w:rsid w:val="002E4B52"/>
    <w:rsid w:val="003418B3"/>
    <w:rsid w:val="00364140"/>
    <w:rsid w:val="00385757"/>
    <w:rsid w:val="003F00E9"/>
    <w:rsid w:val="004330C1"/>
    <w:rsid w:val="00534771"/>
    <w:rsid w:val="005415A7"/>
    <w:rsid w:val="00553244"/>
    <w:rsid w:val="00557A24"/>
    <w:rsid w:val="005A3D6C"/>
    <w:rsid w:val="005A449A"/>
    <w:rsid w:val="005C5FBC"/>
    <w:rsid w:val="005D142A"/>
    <w:rsid w:val="005D1C39"/>
    <w:rsid w:val="005D1F9B"/>
    <w:rsid w:val="005F3523"/>
    <w:rsid w:val="006039AE"/>
    <w:rsid w:val="00613456"/>
    <w:rsid w:val="006401AA"/>
    <w:rsid w:val="00644AA2"/>
    <w:rsid w:val="0067778D"/>
    <w:rsid w:val="007305B7"/>
    <w:rsid w:val="00737F9D"/>
    <w:rsid w:val="00756B9A"/>
    <w:rsid w:val="0079263E"/>
    <w:rsid w:val="0079640E"/>
    <w:rsid w:val="007A6326"/>
    <w:rsid w:val="007B226A"/>
    <w:rsid w:val="007C18E1"/>
    <w:rsid w:val="007C527E"/>
    <w:rsid w:val="007C6D84"/>
    <w:rsid w:val="0080181C"/>
    <w:rsid w:val="00861D2B"/>
    <w:rsid w:val="0086626E"/>
    <w:rsid w:val="008731F5"/>
    <w:rsid w:val="00886420"/>
    <w:rsid w:val="00895407"/>
    <w:rsid w:val="008E1594"/>
    <w:rsid w:val="008E43CC"/>
    <w:rsid w:val="008F2B31"/>
    <w:rsid w:val="00921797"/>
    <w:rsid w:val="00925040"/>
    <w:rsid w:val="009672A8"/>
    <w:rsid w:val="00985683"/>
    <w:rsid w:val="009B0579"/>
    <w:rsid w:val="009B1BF4"/>
    <w:rsid w:val="009D5971"/>
    <w:rsid w:val="009E7D24"/>
    <w:rsid w:val="00A01DAA"/>
    <w:rsid w:val="00A06A0F"/>
    <w:rsid w:val="00A154B7"/>
    <w:rsid w:val="00A15B16"/>
    <w:rsid w:val="00A209F0"/>
    <w:rsid w:val="00A436AD"/>
    <w:rsid w:val="00A7787F"/>
    <w:rsid w:val="00A83066"/>
    <w:rsid w:val="00AF39E5"/>
    <w:rsid w:val="00B1763B"/>
    <w:rsid w:val="00B24A93"/>
    <w:rsid w:val="00B65933"/>
    <w:rsid w:val="00B75C70"/>
    <w:rsid w:val="00B82F0F"/>
    <w:rsid w:val="00BA6C49"/>
    <w:rsid w:val="00BD6884"/>
    <w:rsid w:val="00C13F93"/>
    <w:rsid w:val="00C15AD5"/>
    <w:rsid w:val="00C56D0A"/>
    <w:rsid w:val="00C61B3E"/>
    <w:rsid w:val="00C62216"/>
    <w:rsid w:val="00C63DA1"/>
    <w:rsid w:val="00C85122"/>
    <w:rsid w:val="00C91D1F"/>
    <w:rsid w:val="00D02861"/>
    <w:rsid w:val="00D3554C"/>
    <w:rsid w:val="00D75B41"/>
    <w:rsid w:val="00D872B1"/>
    <w:rsid w:val="00DA2438"/>
    <w:rsid w:val="00E07D51"/>
    <w:rsid w:val="00E45DC2"/>
    <w:rsid w:val="00E605D0"/>
    <w:rsid w:val="00E60634"/>
    <w:rsid w:val="00E6474B"/>
    <w:rsid w:val="00EB453F"/>
    <w:rsid w:val="00EC2EF3"/>
    <w:rsid w:val="00ED2A43"/>
    <w:rsid w:val="00EE263A"/>
    <w:rsid w:val="00EE3034"/>
    <w:rsid w:val="00EF15E9"/>
    <w:rsid w:val="00EF2CE3"/>
    <w:rsid w:val="00F206E8"/>
    <w:rsid w:val="00F4090F"/>
    <w:rsid w:val="00F42C59"/>
    <w:rsid w:val="00F54868"/>
    <w:rsid w:val="00F610EB"/>
    <w:rsid w:val="00FA7690"/>
    <w:rsid w:val="00FB2E0E"/>
    <w:rsid w:val="00FC47FF"/>
    <w:rsid w:val="00FD550D"/>
    <w:rsid w:val="00FD5EDE"/>
    <w:rsid w:val="00FE4A3D"/>
    <w:rsid w:val="00FE749D"/>
    <w:rsid w:val="055C0D28"/>
    <w:rsid w:val="086E59B2"/>
    <w:rsid w:val="087E763B"/>
    <w:rsid w:val="0A9C7C7D"/>
    <w:rsid w:val="0AA05FF9"/>
    <w:rsid w:val="0D2707FE"/>
    <w:rsid w:val="0E1249E7"/>
    <w:rsid w:val="134426D8"/>
    <w:rsid w:val="172739FF"/>
    <w:rsid w:val="17F96A8D"/>
    <w:rsid w:val="18F3591C"/>
    <w:rsid w:val="1BFB2B5A"/>
    <w:rsid w:val="1D933204"/>
    <w:rsid w:val="1E482B74"/>
    <w:rsid w:val="1E98079E"/>
    <w:rsid w:val="1F0E4980"/>
    <w:rsid w:val="1FCA4DD3"/>
    <w:rsid w:val="22937089"/>
    <w:rsid w:val="257D2025"/>
    <w:rsid w:val="25803E41"/>
    <w:rsid w:val="26603A3F"/>
    <w:rsid w:val="27BA6748"/>
    <w:rsid w:val="28504126"/>
    <w:rsid w:val="29D451CD"/>
    <w:rsid w:val="2C283835"/>
    <w:rsid w:val="2C4846C3"/>
    <w:rsid w:val="2EF17C72"/>
    <w:rsid w:val="2F2B1BBD"/>
    <w:rsid w:val="30FA53F9"/>
    <w:rsid w:val="369E2C45"/>
    <w:rsid w:val="376F7C94"/>
    <w:rsid w:val="386047AF"/>
    <w:rsid w:val="40044498"/>
    <w:rsid w:val="402B6B29"/>
    <w:rsid w:val="40AA4D9C"/>
    <w:rsid w:val="43620FF7"/>
    <w:rsid w:val="438331FE"/>
    <w:rsid w:val="43B428CD"/>
    <w:rsid w:val="43C60C73"/>
    <w:rsid w:val="463E0AB4"/>
    <w:rsid w:val="46AA761D"/>
    <w:rsid w:val="46B30702"/>
    <w:rsid w:val="487A2C40"/>
    <w:rsid w:val="48C83CDD"/>
    <w:rsid w:val="49E268F4"/>
    <w:rsid w:val="4C6A6435"/>
    <w:rsid w:val="4CDF145A"/>
    <w:rsid w:val="4D436CA9"/>
    <w:rsid w:val="4D880299"/>
    <w:rsid w:val="4FE92AD6"/>
    <w:rsid w:val="54854B0C"/>
    <w:rsid w:val="5B474F18"/>
    <w:rsid w:val="5BA125BE"/>
    <w:rsid w:val="5C82402F"/>
    <w:rsid w:val="63B7073F"/>
    <w:rsid w:val="641A5793"/>
    <w:rsid w:val="645C1968"/>
    <w:rsid w:val="64AC7C3E"/>
    <w:rsid w:val="65B2718A"/>
    <w:rsid w:val="6B0075CF"/>
    <w:rsid w:val="6F8361FA"/>
    <w:rsid w:val="6F894C42"/>
    <w:rsid w:val="7B7447F9"/>
    <w:rsid w:val="7C230F63"/>
    <w:rsid w:val="7D972D9F"/>
    <w:rsid w:val="7F22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ind w:firstLine="419" w:firstLineChars="144"/>
      <w:outlineLvl w:val="1"/>
    </w:pPr>
    <w:rPr>
      <w:rFonts w:ascii="仿宋" w:hAnsi="仿宋" w:eastAsia="仿宋"/>
      <w:b/>
      <w:kern w:val="0"/>
      <w:sz w:val="29"/>
      <w:szCs w:val="29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2">
    <w:name w:val="page number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4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5">
    <w:name w:val="示例"/>
    <w:next w:val="1"/>
    <w:qFormat/>
    <w:uiPriority w:val="0"/>
    <w:pPr>
      <w:widowControl w:val="0"/>
      <w:ind w:left="2411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6">
    <w:name w:val="章标题"/>
    <w:next w:val="14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一级条标题"/>
    <w:next w:val="14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8">
    <w:name w:val="其他实施日期"/>
    <w:basedOn w:val="1"/>
    <w:qFormat/>
    <w:uiPriority w:val="0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 w:val="28"/>
      <w:szCs w:val="20"/>
    </w:rPr>
  </w:style>
  <w:style w:type="paragraph" w:customStyle="1" w:styleId="19">
    <w:name w:val="其他发布部门"/>
    <w:basedOn w:val="1"/>
    <w:qFormat/>
    <w:uiPriority w:val="0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28"/>
      <w:szCs w:val="20"/>
    </w:rPr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3"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页脚 Char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25">
    <w:name w:val="页眉 Char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26">
    <w:name w:val="批注框文本 Char"/>
    <w:basedOn w:val="11"/>
    <w:link w:val="5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20190626&#36215;\&#26631;&#20934;&#20844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标准公文格式</Template>
  <Company>china</Company>
  <Pages>23</Pages>
  <Words>5009</Words>
  <Characters>5160</Characters>
  <Lines>737</Lines>
  <Paragraphs>1016</Paragraphs>
  <TotalTime>8</TotalTime>
  <ScaleCrop>false</ScaleCrop>
  <LinksUpToDate>false</LinksUpToDate>
  <CharactersWithSpaces>9153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2020-06-15T08:27:00Z</dcterms:created>
  <dc:creator>黄鹤楼</dc:creator>
  <cp:lastModifiedBy>rexqing</cp:lastModifiedBy>
  <cp:lastPrinted>2020-06-01T07:51:00Z</cp:lastPrinted>
  <dcterms:modified xsi:type="dcterms:W3CDTF">2020-06-22T02:18:57Z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